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540" w:type="dxa"/>
        <w:jc w:val="center"/>
        <w:shd w:val="clear" w:color="auto" w:fill="F3F3F3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40"/>
      </w:tblGrid>
      <w:tr w:rsidR="00166D51" w:rsidTr="00956BB3">
        <w:trPr>
          <w:trHeight w:val="14740"/>
          <w:tblHeader/>
          <w:jc w:val="center"/>
        </w:trPr>
        <w:tc>
          <w:tcPr>
            <w:tcW w:w="11540" w:type="dxa"/>
            <w:shd w:val="clear" w:color="auto" w:fill="auto"/>
          </w:tcPr>
          <w:p w:rsidR="00390787" w:rsidRDefault="00390787"/>
          <w:tbl>
            <w:tblPr>
              <w:tblStyle w:val="12"/>
              <w:tblW w:w="1041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4"/>
              <w:gridCol w:w="1476"/>
            </w:tblGrid>
            <w:tr w:rsidR="00166D51" w:rsidTr="00576E24">
              <w:trPr>
                <w:trHeight w:val="1256"/>
                <w:jc w:val="center"/>
              </w:trPr>
              <w:tc>
                <w:tcPr>
                  <w:tcW w:w="8934" w:type="dxa"/>
                  <w:tcBorders>
                    <w:right w:val="single" w:sz="4" w:space="0" w:color="auto"/>
                  </w:tcBorders>
                </w:tcPr>
                <w:p w:rsidR="00537B9D" w:rsidRDefault="003C224F" w:rsidP="00537B9D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bookmarkStart w:id="0" w:name="prndtr_pamyatkadelete3"/>
                  <w:bookmarkStart w:id="1" w:name="prndtr_pamyatkadelete1"/>
                  <w:bookmarkEnd w:id="0"/>
                  <w:bookmarkEnd w:id="1"/>
                  <w:r w:rsidRPr="00827CA5">
                    <w:rPr>
                      <w:rFonts w:ascii="Times New Roman" w:hAnsi="Times New Roman"/>
                      <w:b/>
                      <w:sz w:val="28"/>
                    </w:rPr>
                    <w:t>Ключевой информационный документ</w:t>
                  </w:r>
                </w:p>
                <w:p w:rsidR="00537B9D" w:rsidRPr="00827CA5" w:rsidRDefault="003C224F" w:rsidP="003A7F30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подготовлен на основании </w:t>
                  </w:r>
                  <w:r w:rsidR="003A7F30" w:rsidRPr="003A7F30">
                    <w:rPr>
                      <w:rFonts w:ascii="Times New Roman" w:hAnsi="Times New Roman"/>
                      <w:sz w:val="24"/>
                      <w:szCs w:val="24"/>
                    </w:rPr>
                    <w:t>«Правил страхования имущества»</w:t>
                  </w:r>
                  <w:r w:rsidR="003A7F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91742">
                    <w:rPr>
                      <w:rFonts w:ascii="Times New Roman" w:hAnsi="Times New Roman"/>
                      <w:sz w:val="24"/>
                      <w:szCs w:val="24"/>
                    </w:rPr>
                    <w:t>Страховщика в редакции от 25.02.2021 г. (далее – Правила страхования)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B9D" w:rsidRPr="00827CA5" w:rsidRDefault="003C224F" w:rsidP="00537B9D">
                  <w:pPr>
                    <w:spacing w:after="12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537B9D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52400" cy="756000"/>
                        <wp:effectExtent l="0" t="0" r="0" b="6350"/>
                        <wp:docPr id="6" name="Рисунок 6" descr="C:\Users\ZhuravlevIP\Desktop\ipoteka\кид\qr-code правила КИС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ZhuravlevIP\Desktop\ipoteka\кид\qr-code правила КИС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00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af5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425"/>
              <w:gridCol w:w="5104"/>
            </w:tblGrid>
            <w:tr w:rsidR="00166D51" w:rsidTr="002212DC">
              <w:tc>
                <w:tcPr>
                  <w:tcW w:w="10632" w:type="dxa"/>
                  <w:gridSpan w:val="3"/>
                </w:tcPr>
                <w:p w:rsidR="00537B9D" w:rsidRDefault="003C224F" w:rsidP="00537B9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</w:rPr>
                    <w:t>Страховщик:</w:t>
                  </w:r>
                  <w:r w:rsidRPr="00827CA5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5670A8">
                    <w:rPr>
                      <w:rFonts w:ascii="Times New Roman" w:hAnsi="Times New Roman"/>
                      <w:sz w:val="24"/>
                    </w:rPr>
                    <w:t>кционерное общество</w:t>
                  </w:r>
                  <w:r w:rsidRPr="0001312D">
                    <w:rPr>
                      <w:rFonts w:ascii="Times New Roman" w:hAnsi="Times New Roman"/>
                      <w:sz w:val="24"/>
                    </w:rPr>
                    <w:t xml:space="preserve"> «АльфаСтрахование»</w:t>
                  </w:r>
                </w:p>
                <w:p w:rsidR="00537B9D" w:rsidRPr="00F23DF7" w:rsidRDefault="003C224F" w:rsidP="00537B9D">
                  <w:pPr>
                    <w:ind w:firstLine="1452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10F7E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 w:rsidRPr="00827CA5">
                    <w:rPr>
                      <w:rFonts w:ascii="Times New Roman" w:hAnsi="Times New Roman"/>
                      <w:sz w:val="18"/>
                      <w:szCs w:val="18"/>
                    </w:rPr>
                    <w:t>указывается наименование (фирменное наименование) страховщика)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3"/>
                </w:tcPr>
                <w:p w:rsidR="00537B9D" w:rsidRPr="00827CA5" w:rsidRDefault="00390787" w:rsidP="00537B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66D51" w:rsidTr="002212DC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</w:rPr>
                    <w:t>Раздел I. ЧТО ЗАСТРАХОВАНО?</w:t>
                  </w:r>
                </w:p>
              </w:tc>
            </w:tr>
            <w:tr w:rsidR="00166D51" w:rsidTr="002212DC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E0774" w:rsidRDefault="003C224F" w:rsidP="00434B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Основные страховые риски</w:t>
                  </w:r>
                  <w:r>
                    <w:rPr>
                      <w:rStyle w:val="afe"/>
                      <w:rFonts w:ascii="Times New Roman" w:hAnsi="Times New Roman"/>
                      <w:b/>
                      <w:sz w:val="24"/>
                      <w:szCs w:val="24"/>
                    </w:rPr>
                    <w:footnoteReference w:id="2"/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434B13" w:rsidRPr="00827CA5" w:rsidRDefault="00390787" w:rsidP="00434B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537B9D" w:rsidRPr="00827CA5" w:rsidRDefault="00390787" w:rsidP="00537B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37B9D" w:rsidRDefault="00390787" w:rsidP="00537B9D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537B9D" w:rsidRPr="00827CA5" w:rsidRDefault="003A7F30" w:rsidP="00537B9D">
                  <w:pPr>
                    <w:rPr>
                      <w:rFonts w:ascii="Times New Roman" w:hAnsi="Times New Roman"/>
                      <w:sz w:val="24"/>
                    </w:rPr>
                  </w:pPr>
                  <w:r w:rsidRPr="003A7F30">
                    <w:rPr>
                      <w:rFonts w:ascii="Times New Roman" w:hAnsi="Times New Roman"/>
                      <w:sz w:val="24"/>
                      <w:highlight w:val="yellow"/>
                    </w:rPr>
                    <w:t>______</w:t>
                  </w:r>
                  <w:r w:rsidR="003C224F" w:rsidRPr="003A7F30">
                    <w:rPr>
                      <w:rFonts w:ascii="Times New Roman" w:hAnsi="Times New Roman"/>
                      <w:sz w:val="24"/>
                      <w:highlight w:val="yellow"/>
                    </w:rPr>
                    <w:t xml:space="preserve"> рублей</w:t>
                  </w:r>
                  <w:r w:rsidR="003C224F" w:rsidRPr="00827CA5">
                    <w:rPr>
                      <w:rFonts w:ascii="Times New Roman" w:hAnsi="Times New Roman"/>
                      <w:sz w:val="24"/>
                    </w:rPr>
                    <w:t xml:space="preserve"> – </w:t>
                  </w:r>
                  <w:r w:rsidR="003C224F" w:rsidRPr="00827CA5">
                    <w:rPr>
                      <w:rFonts w:ascii="Times New Roman" w:hAnsi="Times New Roman"/>
                      <w:b/>
                      <w:sz w:val="24"/>
                    </w:rPr>
                    <w:t>страховая премия</w:t>
                  </w:r>
                  <w:r w:rsidR="003C224F">
                    <w:rPr>
                      <w:rFonts w:ascii="Times New Roman" w:hAnsi="Times New Roman"/>
                      <w:b/>
                      <w:sz w:val="24"/>
                    </w:rPr>
                    <w:t xml:space="preserve"> за основные страховые риски</w:t>
                  </w:r>
                </w:p>
                <w:p w:rsidR="00537B9D" w:rsidRPr="00827CA5" w:rsidRDefault="003C224F" w:rsidP="00537B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sz w:val="18"/>
                      <w:szCs w:val="18"/>
                    </w:rPr>
                    <w:t>(указы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вается размер страховой премии </w:t>
                  </w:r>
                  <w:r w:rsidRPr="00827CA5">
                    <w:rPr>
                      <w:rFonts w:ascii="Times New Roman" w:hAnsi="Times New Roman"/>
                      <w:sz w:val="18"/>
                      <w:szCs w:val="18"/>
                    </w:rPr>
                    <w:t>по договору страхования за основные страховые риски)</w:t>
                  </w:r>
                </w:p>
              </w:tc>
            </w:tr>
            <w:tr w:rsidR="00166D51" w:rsidTr="002212DC"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537B9D" w:rsidRPr="00993107" w:rsidRDefault="003C224F" w:rsidP="00576E24">
                  <w:pPr>
                    <w:pStyle w:val="aff"/>
                    <w:numPr>
                      <w:ilvl w:val="0"/>
                      <w:numId w:val="15"/>
                    </w:numPr>
                    <w:ind w:left="662" w:right="-3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107">
                    <w:rPr>
                      <w:rFonts w:ascii="Times New Roman" w:hAnsi="Times New Roman"/>
                      <w:sz w:val="24"/>
                      <w:szCs w:val="24"/>
                    </w:rPr>
                    <w:t>Смерть в результате несчастного случая и/или болезни</w:t>
                  </w:r>
                </w:p>
                <w:p w:rsidR="00537B9D" w:rsidRPr="00827CA5" w:rsidRDefault="003C224F" w:rsidP="00576E24">
                  <w:pPr>
                    <w:pStyle w:val="aff"/>
                    <w:numPr>
                      <w:ilvl w:val="0"/>
                      <w:numId w:val="15"/>
                    </w:numPr>
                    <w:ind w:left="662" w:right="-31" w:hanging="425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93107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инвалидности 1 или 2 группы в результате несчастного случая и/или болезн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537B9D" w:rsidRPr="00827CA5" w:rsidRDefault="00390787" w:rsidP="00537B9D">
                  <w:pPr>
                    <w:jc w:val="both"/>
                  </w:pPr>
                </w:p>
              </w:tc>
              <w:tc>
                <w:tcPr>
                  <w:tcW w:w="5104" w:type="dxa"/>
                  <w:vMerge/>
                  <w:tcBorders>
                    <w:right w:val="single" w:sz="4" w:space="0" w:color="auto"/>
                  </w:tcBorders>
                </w:tcPr>
                <w:p w:rsidR="00537B9D" w:rsidRPr="00827CA5" w:rsidRDefault="00390787" w:rsidP="00537B9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66D51" w:rsidTr="002212DC">
              <w:tc>
                <w:tcPr>
                  <w:tcW w:w="1063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B9D" w:rsidRDefault="003C224F" w:rsidP="00537B9D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По основным страховым рискам выгодоприобретателем является </w:t>
                  </w:r>
                </w:p>
                <w:p w:rsidR="00537B9D" w:rsidRPr="00827CA5" w:rsidRDefault="003A7F30" w:rsidP="00537B9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ПАО «Сбербанк»</w:t>
                  </w:r>
                </w:p>
              </w:tc>
            </w:tr>
            <w:tr w:rsidR="00166D51" w:rsidTr="002212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63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II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ЧТО НЕ ЗАСТРАХОВАНО?</w:t>
                  </w:r>
                </w:p>
              </w:tc>
            </w:tr>
            <w:tr w:rsidR="00166D51" w:rsidTr="002212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632" w:type="dxa"/>
                  <w:gridSpan w:val="3"/>
                  <w:tcBorders>
                    <w:bottom w:val="single" w:sz="4" w:space="0" w:color="auto"/>
                  </w:tcBorders>
                </w:tcPr>
                <w:p w:rsidR="00434B13" w:rsidRPr="00434B13" w:rsidRDefault="003C224F" w:rsidP="00434B13">
                  <w:pPr>
                    <w:numPr>
                      <w:ilvl w:val="0"/>
                      <w:numId w:val="16"/>
                    </w:numPr>
                    <w:ind w:left="318" w:hanging="81"/>
                    <w:contextualSpacing/>
                    <w:jc w:val="both"/>
                    <w:rPr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</w:pPr>
                  <w:r w:rsidRPr="00434B13">
                    <w:rPr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  <w:t>Событие, наступившее в результате алкогольного, наркотического или токсического опьянения (отравления).</w:t>
                  </w:r>
                </w:p>
                <w:p w:rsidR="00434B13" w:rsidRPr="00434B13" w:rsidRDefault="003C224F" w:rsidP="00434B13">
                  <w:pPr>
                    <w:numPr>
                      <w:ilvl w:val="0"/>
                      <w:numId w:val="16"/>
                    </w:numPr>
                    <w:ind w:left="34" w:firstLine="203"/>
                    <w:contextualSpacing/>
                    <w:jc w:val="both"/>
                    <w:rPr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</w:pPr>
                  <w:r w:rsidRPr="00434B13">
                    <w:rPr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  <w:t>Событие, наступившее вследствие социально значимого заболевания</w:t>
                  </w:r>
                  <w:r>
                    <w:rPr>
                      <w:rStyle w:val="afe"/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  <w:footnoteReference w:id="3"/>
                  </w:r>
                  <w:r w:rsidRPr="00434B13">
                    <w:rPr>
                      <w:rFonts w:ascii="Times New Roman" w:eastAsiaTheme="minorHAnsi" w:hAnsi="Times New Roman" w:cstheme="minorBidi"/>
                      <w:sz w:val="24"/>
                      <w:szCs w:val="24"/>
                      <w:lang w:eastAsia="en-US"/>
                    </w:rPr>
                    <w:t>, диагностированного до заключения договора добровольного страхования, в отношении которого страхователь при заключении договора добровольного страхования сообщил ложные сведения.</w:t>
                  </w:r>
                </w:p>
                <w:p w:rsidR="00537B9D" w:rsidRDefault="003C224F" w:rsidP="00434B13">
                  <w:pPr>
                    <w:pStyle w:val="aff"/>
                    <w:numPr>
                      <w:ilvl w:val="0"/>
                      <w:numId w:val="16"/>
                    </w:numPr>
                    <w:ind w:left="29" w:firstLine="2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3406">
                    <w:rPr>
                      <w:rFonts w:ascii="Times New Roman" w:hAnsi="Times New Roman"/>
                      <w:sz w:val="24"/>
                      <w:szCs w:val="24"/>
                    </w:rPr>
                    <w:t>Событие, наступившее вследствие умысла страхователя, выгодоприобретателя, застрахованного лица (в том числе самоубийство, совершенное в течение первых двух лет действия страхования).</w:t>
                  </w:r>
                </w:p>
                <w:p w:rsidR="00434B13" w:rsidRPr="00434B13" w:rsidRDefault="00390787" w:rsidP="00434B1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7B9D" w:rsidRPr="00827CA5" w:rsidRDefault="003C224F" w:rsidP="003A7F30">
                  <w:pPr>
                    <w:ind w:firstLine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5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Страховщик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9075BC">
                    <w:rPr>
                      <w:rFonts w:ascii="Times New Roman" w:hAnsi="Times New Roman"/>
                      <w:sz w:val="24"/>
                      <w:szCs w:val="24"/>
                    </w:rPr>
                    <w:t>свобождается от выплаты страхового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озмещения (обеспечения) в случа</w:t>
                  </w:r>
                  <w:r w:rsidRPr="009075BC">
                    <w:rPr>
                      <w:rFonts w:ascii="Times New Roman" w:hAnsi="Times New Roman"/>
                      <w:sz w:val="24"/>
                      <w:szCs w:val="24"/>
                    </w:rPr>
                    <w:t>ях, предусмотренных законодательством РФ, а также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согласно </w:t>
                  </w:r>
                  <w:r w:rsidRPr="009075BC">
                    <w:rPr>
                      <w:rFonts w:ascii="Times New Roman" w:hAnsi="Times New Roman"/>
                      <w:sz w:val="24"/>
                      <w:szCs w:val="24"/>
                    </w:rPr>
                    <w:t>Правил страхования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07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37B9D" w:rsidRDefault="00390787" w:rsidP="00537B9D"/>
          <w:tbl>
            <w:tblPr>
              <w:tblStyle w:val="af5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66D51" w:rsidTr="002212DC">
              <w:tc>
                <w:tcPr>
                  <w:tcW w:w="106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III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КАК ПОЛУЧИТЬ СТРАХОВУЮ ВЫПЛАТУ?</w:t>
                  </w:r>
                </w:p>
              </w:tc>
            </w:tr>
            <w:tr w:rsidR="00166D51" w:rsidTr="002212DC">
              <w:tc>
                <w:tcPr>
                  <w:tcW w:w="10632" w:type="dxa"/>
                  <w:tcBorders>
                    <w:bottom w:val="single" w:sz="4" w:space="0" w:color="auto"/>
                  </w:tcBorders>
                </w:tcPr>
                <w:p w:rsidR="00434B13" w:rsidRDefault="003C224F" w:rsidP="00434B13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Для получения страховой выплаты </w:t>
                  </w:r>
                  <w:r w:rsidRPr="00E11E61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по основным страховым рискам</w:t>
                  </w:r>
                  <w:r w:rsidRPr="00827CA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требуется представить следующие документы:</w:t>
                  </w:r>
                </w:p>
                <w:p w:rsidR="00434B13" w:rsidRPr="00434B13" w:rsidRDefault="003C224F" w:rsidP="00537B9D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Документы расследования компетентных органов, в т.ч. постановления о возбуждении /отказе в возбуждении уголовного дела/приостановлении/передаче дела в суд – если такое расследование должно было проводиться по обстоятельствам причинения вреда здоровью или смерти Застрахованного лица.</w:t>
                  </w:r>
                </w:p>
                <w:p w:rsidR="00434B13" w:rsidRDefault="003C224F" w:rsidP="00434B13">
                  <w:pPr>
                    <w:pStyle w:val="aff"/>
                    <w:numPr>
                      <w:ilvl w:val="0"/>
                      <w:numId w:val="17"/>
                    </w:numPr>
                    <w:ind w:left="37" w:firstLine="425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993107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По риску смерти: Нотариально заверенную копию свидетельства о смерти Застрахованного лица; Протокол патологоанатомического вскрытия. Если вскрытие не производилось, то копия заявления от родственников об отказе от вскрытия; Медицинское свидетельство о смерти, выданное патологоанатомическим отделением; Справка из патологоанатомического отделения, на основании которой выдается свидетельство о смерти.</w:t>
                  </w:r>
                </w:p>
                <w:p w:rsidR="003A7F30" w:rsidRDefault="003A7F30" w:rsidP="003A7F30">
                  <w:pPr>
                    <w:pStyle w:val="aff"/>
                    <w:ind w:left="462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</w:p>
                <w:p w:rsidR="00434B13" w:rsidRPr="001A4B11" w:rsidRDefault="003C224F" w:rsidP="00434B13">
                  <w:pPr>
                    <w:ind w:left="37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1A4B11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___________________</w:t>
                  </w:r>
                </w:p>
                <w:p w:rsidR="00434B13" w:rsidRDefault="003C224F" w:rsidP="00434B13">
                  <w:pPr>
                    <w:pStyle w:val="afc"/>
                    <w:jc w:val="both"/>
                  </w:pPr>
                  <w:r>
                    <w:rPr>
                      <w:rStyle w:val="afe"/>
                    </w:rPr>
                    <w:footnoteRef/>
                  </w:r>
                  <w:r>
                    <w:t xml:space="preserve"> </w:t>
                  </w:r>
                  <w:r w:rsidRPr="000A6632">
                    <w:rPr>
                      <w:rFonts w:ascii="Times New Roman" w:hAnsi="Times New Roman"/>
                    </w:rPr>
                    <w:t xml:space="preserve">Основным признается страховой риск, который влияет на условия потребительского кредита (займа) </w:t>
                  </w:r>
                  <w:r>
                    <w:rPr>
                      <w:rFonts w:ascii="Times New Roman" w:hAnsi="Times New Roman"/>
                    </w:rPr>
                    <w:t>и (или) по которому</w:t>
                  </w:r>
                  <w:r w:rsidRPr="000A6632">
                    <w:rPr>
                      <w:rFonts w:ascii="Times New Roman" w:hAnsi="Times New Roman"/>
                    </w:rPr>
                    <w:t xml:space="preserve"> кредитор является выгодоприобретателем.</w:t>
                  </w:r>
                </w:p>
                <w:p w:rsidR="00434B13" w:rsidRDefault="003C224F" w:rsidP="00434B13">
                  <w:pPr>
                    <w:pStyle w:val="aff"/>
                    <w:ind w:left="95" w:hanging="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Style w:val="afe"/>
                      <w:rFonts w:ascii="Times New Roman" w:hAnsi="Times New Roman"/>
                    </w:rPr>
                    <w:t>2</w:t>
                  </w:r>
                  <w:r w:rsidRPr="00443D7C">
                    <w:rPr>
                      <w:rFonts w:ascii="Times New Roman" w:hAnsi="Times New Roman"/>
                    </w:rPr>
                    <w:t xml:space="preserve"> </w:t>
                  </w:r>
                  <w:r w:rsidRPr="003624B1">
                    <w:rPr>
                      <w:rFonts w:ascii="Times New Roman" w:hAnsi="Times New Roman"/>
                    </w:rPr>
                    <w:t>Перечень социально значимых заболеваний: туберкулез, инфекции, передающиеся преимущественно половым путем, гепатит В, гепатит С, болезнь, вызванная вирусом иммунодефицита человека (ВИЧ), злокачественные новообразования, сахарный диабет, психические расстройства и расстройства поведения, болезни, характеризующиеся повышенным кровяным давлением, а также сердечно-сосудистые заболевания, цирроз печени.</w:t>
                  </w:r>
                </w:p>
                <w:p w:rsidR="0000695C" w:rsidRPr="00993107" w:rsidRDefault="00390787" w:rsidP="00434B13">
                  <w:pPr>
                    <w:pStyle w:val="aff"/>
                    <w:ind w:left="95" w:hanging="84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</w:p>
                <w:p w:rsidR="00434B13" w:rsidRDefault="003C224F" w:rsidP="00756283">
                  <w:pPr>
                    <w:pStyle w:val="aff"/>
                    <w:numPr>
                      <w:ilvl w:val="0"/>
                      <w:numId w:val="17"/>
                    </w:numPr>
                    <w:ind w:left="360" w:right="-37" w:firstLine="323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434B13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По риску инвалидность I или II группы: Направление на медико-социальную экспертизу (МСЭ); Акт освидетельствования МСЭ, включая протокол к Акту МСЭ; Протокол к Акту МСЭ; Справка МСЭ о присвоении группы инвалидности; Документы медицинского характера, которые были предоставлены в МСЭ</w:t>
                  </w:r>
                </w:p>
                <w:p w:rsidR="00434B13" w:rsidRPr="00434B13" w:rsidRDefault="00390787" w:rsidP="00434B13">
                  <w:pPr>
                    <w:pStyle w:val="aff"/>
                    <w:ind w:left="683" w:right="-37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</w:p>
                <w:p w:rsidR="00537B9D" w:rsidRPr="00341275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А) Если инвалидность I или II группы наступила в результате заболевания, дополнительно к документам, указанным в Правил</w:t>
                  </w:r>
                  <w:r w:rsidR="003A7F30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ах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 xml:space="preserve">, представляется: </w:t>
                  </w:r>
                </w:p>
                <w:p w:rsidR="00537B9D" w:rsidRPr="00341275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•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ab/>
                    <w:t>Заверенная копия амбулаторной карты за 3-5 лет (на усмотрение Страховщика) до заключения Договора страхования с указанием даты первого обращения к врачу по заболеванию, которое привело к инвалидности</w:t>
                  </w:r>
                </w:p>
                <w:p w:rsidR="00537B9D" w:rsidRPr="00341275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•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ab/>
                    <w:t>Заверенные копии медицинских карт амбулаторных и стационарных из лечебных учреждений, где проходило лечение</w:t>
                  </w:r>
                </w:p>
                <w:p w:rsidR="00EE0774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•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ab/>
                    <w:t>Индивидуальная программа реабилитации</w:t>
                  </w:r>
                </w:p>
                <w:p w:rsidR="00EE0774" w:rsidRPr="00341275" w:rsidRDefault="00390787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</w:p>
                <w:p w:rsidR="00537B9D" w:rsidRPr="00341275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В) Если инвалидность I или II группы наступила в результате несчастного случая, дополнительно к документам, указанным в Правил</w:t>
                  </w:r>
                  <w:r w:rsidR="003A7F30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ах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 xml:space="preserve">, представляется: </w:t>
                  </w:r>
                </w:p>
                <w:p w:rsidR="00537B9D" w:rsidRPr="00341275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•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ab/>
                    <w:t xml:space="preserve"> Акт о несчастном случае на производстве (если несчастный случай произошел на производстве).</w:t>
                  </w:r>
                </w:p>
                <w:p w:rsidR="00537B9D" w:rsidRPr="00993107" w:rsidRDefault="003C224F" w:rsidP="00537B9D">
                  <w:pPr>
                    <w:pStyle w:val="aff"/>
                    <w:ind w:left="42" w:right="-37" w:firstLine="318"/>
                    <w:jc w:val="both"/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</w:pP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>•</w:t>
                  </w:r>
                  <w:r w:rsidRPr="00341275">
                    <w:rPr>
                      <w:rFonts w:ascii="Times New Roman" w:eastAsiaTheme="minorEastAsia" w:hAnsi="Times New Roman"/>
                      <w:iCs/>
                      <w:sz w:val="24"/>
                      <w:szCs w:val="24"/>
                    </w:rPr>
                    <w:tab/>
                    <w:t xml:space="preserve"> Справку/выписку из травматологического пункта или иного медицинского учреждения с указанием даты обращения и диагнозом полученных повреждений.</w:t>
                  </w:r>
                </w:p>
                <w:p w:rsidR="00537B9D" w:rsidRPr="00874EA9" w:rsidRDefault="00390787" w:rsidP="00537B9D">
                  <w:pPr>
                    <w:pStyle w:val="aff"/>
                    <w:spacing w:before="120"/>
                    <w:ind w:left="462" w:right="-37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</w:rPr>
                  </w:pPr>
                </w:p>
                <w:p w:rsidR="00537B9D" w:rsidRPr="00827CA5" w:rsidRDefault="003C224F" w:rsidP="003A7F30">
                  <w:pPr>
                    <w:spacing w:after="6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Страховая выплата осуществляется</w:t>
                  </w:r>
                  <w:r w:rsidRPr="0034127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в срок, установленный согласно Правил страхования. </w:t>
                  </w:r>
                  <w:r w:rsidRPr="00827CA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37B9D" w:rsidRDefault="00390787" w:rsidP="00537B9D"/>
          <w:tbl>
            <w:tblPr>
              <w:tblStyle w:val="af5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  <w:gridCol w:w="5610"/>
            </w:tblGrid>
            <w:tr w:rsidR="00166D51" w:rsidTr="002212DC">
              <w:tc>
                <w:tcPr>
                  <w:tcW w:w="10632" w:type="dxa"/>
                  <w:gridSpan w:val="2"/>
                  <w:tcBorders>
                    <w:top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_Hlk91685658"/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IV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КАК ВЕРНУТЬ СТРАХОВУЮ ПРЕМИЮ?</w:t>
                  </w:r>
                </w:p>
              </w:tc>
            </w:tr>
            <w:tr w:rsidR="00166D51" w:rsidTr="00390787">
              <w:tc>
                <w:tcPr>
                  <w:tcW w:w="5022" w:type="dxa"/>
                  <w:vAlign w:val="center"/>
                </w:tcPr>
                <w:p w:rsidR="00537B9D" w:rsidRPr="00827CA5" w:rsidRDefault="003C224F" w:rsidP="00537B9D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Основания для возврата страховой премии</w:t>
                  </w:r>
                </w:p>
              </w:tc>
              <w:tc>
                <w:tcPr>
                  <w:tcW w:w="5610" w:type="dxa"/>
                  <w:vAlign w:val="center"/>
                </w:tcPr>
                <w:p w:rsidR="00537B9D" w:rsidRPr="00827CA5" w:rsidRDefault="003C224F" w:rsidP="00537B9D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возврата страховой премии</w:t>
                  </w:r>
                </w:p>
              </w:tc>
            </w:tr>
            <w:tr w:rsidR="00166D51" w:rsidTr="00390787">
              <w:tc>
                <w:tcPr>
                  <w:tcW w:w="5022" w:type="dxa"/>
                  <w:vAlign w:val="center"/>
                </w:tcPr>
                <w:p w:rsidR="00537B9D" w:rsidRPr="00827CA5" w:rsidRDefault="003C224F" w:rsidP="00537B9D">
                  <w:pPr>
                    <w:spacing w:before="60" w:after="6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40E5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от договора добровольного страхования в течение 14 календарных дней со </w:t>
                  </w:r>
                  <w:r w:rsidRPr="002C4B64">
                    <w:rPr>
                      <w:rFonts w:ascii="Times New Roman" w:hAnsi="Times New Roman"/>
                      <w:sz w:val="24"/>
                      <w:szCs w:val="24"/>
                    </w:rPr>
                    <w:t>дня его заключения</w:t>
                  </w:r>
                </w:p>
              </w:tc>
              <w:tc>
                <w:tcPr>
                  <w:tcW w:w="5610" w:type="dxa"/>
                  <w:vAlign w:val="center"/>
                </w:tcPr>
                <w:p w:rsidR="00537B9D" w:rsidRPr="00993107" w:rsidRDefault="003C224F" w:rsidP="00537B9D">
                  <w:pPr>
                    <w:spacing w:before="60" w:after="60"/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</w:pPr>
                  <w:r w:rsidRPr="00993107">
                    <w:rPr>
                      <w:rFonts w:ascii="Times New Roman" w:hAnsi="Times New Roman"/>
                      <w:sz w:val="24"/>
                      <w:szCs w:val="24"/>
                    </w:rPr>
                    <w:t>100% страховой премии, при условии отсутствия событий, имеющих признаки страхового случая.</w:t>
                  </w:r>
                </w:p>
              </w:tc>
            </w:tr>
            <w:tr w:rsidR="00166D51" w:rsidTr="00390787">
              <w:tc>
                <w:tcPr>
                  <w:tcW w:w="5022" w:type="dxa"/>
                  <w:vAlign w:val="center"/>
                </w:tcPr>
                <w:p w:rsidR="00537B9D" w:rsidRPr="00F40E5B" w:rsidRDefault="003C224F" w:rsidP="00537B9D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0E5B">
                    <w:rPr>
                      <w:rFonts w:ascii="Times New Roman" w:hAnsi="Times New Roman"/>
                      <w:sz w:val="24"/>
                      <w:szCs w:val="24"/>
                    </w:rPr>
                    <w:t>Полное досрочное погашение кредита (займа)</w:t>
                  </w:r>
                </w:p>
              </w:tc>
              <w:tc>
                <w:tcPr>
                  <w:tcW w:w="5610" w:type="dxa"/>
                  <w:vAlign w:val="center"/>
                </w:tcPr>
                <w:p w:rsidR="00537B9D" w:rsidRPr="00993107" w:rsidRDefault="003C224F" w:rsidP="00537B9D">
                  <w:pPr>
                    <w:spacing w:before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3107">
                    <w:rPr>
                      <w:rFonts w:ascii="Times New Roman" w:hAnsi="Times New Roman"/>
                      <w:sz w:val="24"/>
                      <w:szCs w:val="24"/>
                    </w:rPr>
                    <w:t>100% страховой премии за вычетом части страховой премии, исчисляемой пропорционально времени, в течение которого действовало страхование, при условии отсутствия событий, имеющих признаки страхового случая.</w:t>
                  </w:r>
                </w:p>
              </w:tc>
            </w:tr>
            <w:tr w:rsidR="00166D51" w:rsidTr="00390787">
              <w:tc>
                <w:tcPr>
                  <w:tcW w:w="5022" w:type="dxa"/>
                  <w:vAlign w:val="center"/>
                </w:tcPr>
                <w:p w:rsidR="00537B9D" w:rsidRPr="004068A3" w:rsidRDefault="003C224F" w:rsidP="00537B9D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соглашению сторон</w:t>
                  </w:r>
                </w:p>
              </w:tc>
              <w:tc>
                <w:tcPr>
                  <w:tcW w:w="5610" w:type="dxa"/>
                  <w:vAlign w:val="center"/>
                </w:tcPr>
                <w:p w:rsidR="00537B9D" w:rsidRPr="006B7868" w:rsidRDefault="003C224F" w:rsidP="00537B9D">
                  <w:pPr>
                    <w:spacing w:before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7868">
                    <w:rPr>
                      <w:rFonts w:ascii="Times New Roman" w:hAnsi="Times New Roman"/>
                      <w:sz w:val="24"/>
                      <w:szCs w:val="24"/>
                    </w:rPr>
                    <w:t>100% страховой премии за вычетом части страховой премии, исчисляемой пропорционально времени, в течение которого действовало страхование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расходов Страхов</w:t>
                  </w:r>
                  <w:r w:rsidRPr="006B7868">
                    <w:rPr>
                      <w:rFonts w:ascii="Times New Roman" w:hAnsi="Times New Roman"/>
                      <w:sz w:val="24"/>
                      <w:szCs w:val="24"/>
                    </w:rPr>
                    <w:t>щика на ведение дела в размере 25%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EE6DD0">
                    <w:rPr>
                      <w:rFonts w:ascii="Times New Roman" w:hAnsi="Times New Roman"/>
                      <w:sz w:val="24"/>
                      <w:szCs w:val="24"/>
                    </w:rPr>
                    <w:t>при условии отсутствия событий, имеющих признаки страхового случая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B78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37B9D" w:rsidRPr="00827CA5" w:rsidRDefault="003C224F" w:rsidP="00537B9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 иных случаях страховая премия возврату не подлежит.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37B9D" w:rsidRDefault="003C224F" w:rsidP="00537B9D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AB5">
                    <w:rPr>
                      <w:rFonts w:ascii="Times New Roman" w:hAnsi="Times New Roman"/>
                      <w:sz w:val="24"/>
                      <w:szCs w:val="24"/>
                    </w:rPr>
                    <w:t>Отказ от страхования возможен в отношении всех страховых рисков.</w:t>
                  </w: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37B9D" w:rsidRDefault="003C224F" w:rsidP="00537B9D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Возврат страховой премии осуществляется в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 дней </w:t>
                  </w: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>со дня получения соответствующего заявления.</w:t>
                  </w:r>
                </w:p>
                <w:p w:rsidR="00EE0774" w:rsidRDefault="00390787" w:rsidP="00537B9D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0774" w:rsidRPr="00927E23" w:rsidRDefault="00390787" w:rsidP="00537B9D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37B9D" w:rsidRDefault="00390787" w:rsidP="00537B9D"/>
          <w:p w:rsidR="003A7F30" w:rsidRDefault="003A7F30" w:rsidP="00537B9D"/>
          <w:p w:rsidR="00390787" w:rsidRDefault="00390787" w:rsidP="00537B9D"/>
          <w:p w:rsidR="00390787" w:rsidRDefault="00390787" w:rsidP="00537B9D"/>
          <w:p w:rsidR="003A7F30" w:rsidRDefault="003A7F30" w:rsidP="00537B9D"/>
          <w:tbl>
            <w:tblPr>
              <w:tblStyle w:val="af5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655"/>
            </w:tblGrid>
            <w:tr w:rsidR="00166D51" w:rsidTr="002212DC">
              <w:tc>
                <w:tcPr>
                  <w:tcW w:w="10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2"/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V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КАК ПОВЛИЯЕТ ОТКАЗ ОТ СТРАХОВАНИЯ НА КРЕДИТ (ЗАЕМ)?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6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>При отказе от основных страховых рисков по истечении 30 календарных дней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43D7C">
                    <w:rPr>
                      <w:rFonts w:ascii="Times New Roman" w:hAnsi="Times New Roman"/>
                      <w:sz w:val="24"/>
                      <w:szCs w:val="24"/>
                    </w:rPr>
                    <w:t>процентная ставка по кредиту увеличится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согласно требованиям Банка/Кредитора. 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2"/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br w:type="page"/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VI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КУДА ОБРАЩАТЬСЯ?</w:t>
                  </w:r>
                </w:p>
              </w:tc>
            </w:tr>
            <w:tr w:rsidR="00166D51" w:rsidTr="002212DC">
              <w:tc>
                <w:tcPr>
                  <w:tcW w:w="10632" w:type="dxa"/>
                  <w:gridSpan w:val="2"/>
                </w:tcPr>
                <w:p w:rsidR="00537B9D" w:rsidRPr="00827CA5" w:rsidRDefault="003C224F" w:rsidP="00537B9D">
                  <w:pPr>
                    <w:spacing w:before="120" w:after="120"/>
                    <w:ind w:firstLine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sz w:val="24"/>
                      <w:szCs w:val="24"/>
                    </w:rPr>
                    <w:t>Заявления о страховой выплате, об отказе от страхования, о возврате страховой премии, иные сообщения могут быть направлены:</w:t>
                  </w:r>
                </w:p>
              </w:tc>
            </w:tr>
            <w:tr w:rsidR="00166D51" w:rsidTr="002212DC">
              <w:tc>
                <w:tcPr>
                  <w:tcW w:w="2977" w:type="dxa"/>
                </w:tcPr>
                <w:p w:rsidR="00537B9D" w:rsidRPr="00827CA5" w:rsidRDefault="003C224F" w:rsidP="00537B9D"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Страховщику по адресу: </w:t>
                  </w:r>
                </w:p>
              </w:tc>
              <w:tc>
                <w:tcPr>
                  <w:tcW w:w="7655" w:type="dxa"/>
                </w:tcPr>
                <w:p w:rsidR="00537B9D" w:rsidRPr="00827CA5" w:rsidRDefault="003C224F" w:rsidP="00537B9D">
                  <w:pPr>
                    <w:spacing w:before="120" w:after="60"/>
                    <w:jc w:val="center"/>
                  </w:pPr>
                  <w:r w:rsidRPr="0053363A">
                    <w:rPr>
                      <w:rFonts w:ascii="Times New Roman" w:hAnsi="Times New Roman"/>
                      <w:sz w:val="24"/>
                      <w:szCs w:val="24"/>
                    </w:rPr>
                    <w:t>115162, г. Москва, ул. Шаболовка, д.31, стр.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6D51" w:rsidTr="002212DC">
              <w:tc>
                <w:tcPr>
                  <w:tcW w:w="2977" w:type="dxa"/>
                </w:tcPr>
                <w:p w:rsidR="00537B9D" w:rsidRPr="00827CA5" w:rsidRDefault="003C224F" w:rsidP="00537B9D"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Кредитору по адресу: </w:t>
                  </w:r>
                </w:p>
              </w:tc>
              <w:tc>
                <w:tcPr>
                  <w:tcW w:w="7655" w:type="dxa"/>
                </w:tcPr>
                <w:p w:rsidR="00576E24" w:rsidRDefault="003A7F30" w:rsidP="00576E24">
                  <w:pPr>
                    <w:spacing w:before="120" w:after="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Сбербанк</w:t>
                  </w:r>
                  <w:r w:rsidR="003C224F" w:rsidRPr="00576E24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(публичное акционерное общество)</w:t>
                  </w:r>
                </w:p>
                <w:p w:rsidR="00537B9D" w:rsidRPr="00827CA5" w:rsidRDefault="003A7F30" w:rsidP="00576E24">
                  <w:pPr>
                    <w:spacing w:before="120" w:after="60"/>
                    <w:jc w:val="center"/>
                  </w:pPr>
                  <w:r w:rsidRPr="003A7F30">
                    <w:rPr>
                      <w:rFonts w:ascii="Times New Roman" w:hAnsi="Times New Roman"/>
                      <w:sz w:val="24"/>
                      <w:szCs w:val="24"/>
                    </w:rPr>
                    <w:t>117997, г. Москва, ул. Вавилова, д. 19</w:t>
                  </w:r>
                </w:p>
              </w:tc>
            </w:tr>
          </w:tbl>
          <w:p w:rsidR="00537B9D" w:rsidRDefault="00390787" w:rsidP="00537B9D"/>
          <w:tbl>
            <w:tblPr>
              <w:tblStyle w:val="af5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66D51" w:rsidTr="002212DC">
              <w:tc>
                <w:tcPr>
                  <w:tcW w:w="10632" w:type="dxa"/>
                  <w:tcBorders>
                    <w:top w:val="single" w:sz="4" w:space="0" w:color="auto"/>
                  </w:tcBorders>
                </w:tcPr>
                <w:p w:rsidR="00537B9D" w:rsidRPr="00827CA5" w:rsidRDefault="003C224F" w:rsidP="00537B9D">
                  <w:pPr>
                    <w:spacing w:before="80" w:after="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  <w:lang w:val="de-DE"/>
                    </w:rPr>
                    <w:t>VII</w:t>
                  </w:r>
                  <w:r w:rsidRPr="00827C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КАК УРЕГУЛИРОВАТЬ СПОР ДО СУДА?</w:t>
                  </w:r>
                </w:p>
              </w:tc>
            </w:tr>
            <w:tr w:rsidR="00166D51" w:rsidTr="002212DC">
              <w:tc>
                <w:tcPr>
                  <w:tcW w:w="10632" w:type="dxa"/>
                </w:tcPr>
                <w:p w:rsidR="00537B9D" w:rsidRDefault="003C224F" w:rsidP="00537B9D">
                  <w:pPr>
                    <w:pStyle w:val="aff"/>
                    <w:numPr>
                      <w:ilvl w:val="0"/>
                      <w:numId w:val="14"/>
                    </w:numPr>
                    <w:spacing w:before="120" w:after="120"/>
                    <w:ind w:left="0" w:right="45" w:firstLine="31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Направить страховщику заявление (претензию) в письменной форме.</w:t>
                  </w:r>
                </w:p>
                <w:p w:rsidR="00537B9D" w:rsidRPr="002E5CB9" w:rsidRDefault="003C224F" w:rsidP="00537B9D">
                  <w:pPr>
                    <w:pStyle w:val="aff"/>
                    <w:numPr>
                      <w:ilvl w:val="0"/>
                      <w:numId w:val="14"/>
                    </w:numPr>
                    <w:tabs>
                      <w:tab w:val="left" w:pos="743"/>
                      <w:tab w:val="left" w:pos="885"/>
                    </w:tabs>
                    <w:ind w:left="0" w:firstLine="31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E5CB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Если страховщик не удовлетворил заявление (претензию), при этом размер требований не превышает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500 000 </w:t>
                  </w:r>
                  <w:r w:rsidRPr="002E5CB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рублей, до обращения в суд необходимо обратиться к уполномоченному по правам потребителей финансовых услуг:</w:t>
                  </w:r>
                </w:p>
                <w:p w:rsidR="00537B9D" w:rsidRPr="006F6682" w:rsidRDefault="003C224F" w:rsidP="00537B9D">
                  <w:pPr>
                    <w:spacing w:before="120"/>
                    <w:ind w:left="567" w:right="4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827C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айт:</w:t>
                  </w:r>
                  <w:r w:rsidRPr="00827C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0D505B">
                      <w:rPr>
                        <w:rStyle w:val="aff3"/>
                        <w:rFonts w:ascii="Times New Roman" w:hAnsi="Times New Roman"/>
                        <w:bCs/>
                        <w:sz w:val="24"/>
                        <w:szCs w:val="24"/>
                        <w:lang w:val="en-US"/>
                      </w:rPr>
                      <w:t>www</w:t>
                    </w:r>
                    <w:r w:rsidRPr="000D505B">
                      <w:rPr>
                        <w:rStyle w:val="aff3"/>
                        <w:rFonts w:ascii="Times New Roman" w:hAnsi="Times New Roman"/>
                        <w:bCs/>
                        <w:sz w:val="24"/>
                        <w:szCs w:val="24"/>
                      </w:rPr>
                      <w:t>.</w:t>
                    </w:r>
                    <w:r w:rsidRPr="000D505B">
                      <w:rPr>
                        <w:rStyle w:val="aff3"/>
                        <w:rFonts w:ascii="Times New Roman" w:hAnsi="Times New Roman"/>
                        <w:bCs/>
                        <w:sz w:val="24"/>
                        <w:szCs w:val="24"/>
                        <w:lang w:val="en-US"/>
                      </w:rPr>
                      <w:t>finombudsman</w:t>
                    </w:r>
                    <w:r w:rsidRPr="000D505B">
                      <w:rPr>
                        <w:rStyle w:val="aff3"/>
                        <w:rFonts w:ascii="Times New Roman" w:hAnsi="Times New Roman"/>
                        <w:bCs/>
                        <w:sz w:val="24"/>
                        <w:szCs w:val="24"/>
                      </w:rPr>
                      <w:t>.</w:t>
                    </w:r>
                    <w:r w:rsidRPr="000D505B">
                      <w:rPr>
                        <w:rStyle w:val="aff3"/>
                        <w:rFonts w:ascii="Times New Roman" w:hAnsi="Times New Roman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>
                    <w:rPr>
                      <w:rStyle w:val="aff3"/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537B9D" w:rsidRPr="00827CA5" w:rsidRDefault="003C224F" w:rsidP="00537B9D">
                  <w:pPr>
                    <w:ind w:left="567" w:right="4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827C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дрес:</w:t>
                  </w:r>
                  <w:r w:rsidRPr="00827C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119017, г. Москва, Старомонетный пер., дом 3.</w:t>
                  </w:r>
                </w:p>
                <w:p w:rsidR="00537B9D" w:rsidRPr="00827CA5" w:rsidRDefault="003C224F" w:rsidP="00537B9D">
                  <w:pPr>
                    <w:spacing w:before="120" w:after="120"/>
                    <w:ind w:right="45" w:firstLine="31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27C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Рассмотрение </w:t>
                  </w:r>
                  <w:r w:rsidRPr="002C4B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уполномоченным по правам потребителей финансовых услуг</w:t>
                  </w:r>
                  <w:r w:rsidRPr="00827C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обращения потребителя финансовых услуг осуществляется бесплатно.</w:t>
                  </w:r>
                </w:p>
              </w:tc>
            </w:tr>
          </w:tbl>
          <w:p w:rsidR="000D0F3A" w:rsidRPr="00293317" w:rsidRDefault="00390787" w:rsidP="000D0F3A">
            <w:pPr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bookmarkStart w:id="3" w:name="_GoBack"/>
            <w:bookmarkEnd w:id="3"/>
          </w:p>
        </w:tc>
      </w:tr>
      <w:tr w:rsidR="00166D51" w:rsidTr="004938B2">
        <w:trPr>
          <w:trHeight w:val="74"/>
          <w:tblHeader/>
          <w:jc w:val="center"/>
        </w:trPr>
        <w:tc>
          <w:tcPr>
            <w:tcW w:w="11540" w:type="dxa"/>
            <w:shd w:val="clear" w:color="auto" w:fill="auto"/>
            <w:vAlign w:val="center"/>
          </w:tcPr>
          <w:p w:rsidR="003C311E" w:rsidRPr="00D11357" w:rsidRDefault="00390787" w:rsidP="00CE2CC9">
            <w:pPr>
              <w:pStyle w:val="2"/>
              <w:jc w:val="left"/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FE6AB8" w:rsidRDefault="00390787" w:rsidP="00390787">
      <w:pPr>
        <w:rPr>
          <w:rFonts w:ascii="Arial Narrow" w:hAnsi="Arial Narrow" w:cs="Arial"/>
          <w:sz w:val="22"/>
          <w:szCs w:val="22"/>
        </w:rPr>
      </w:pPr>
    </w:p>
    <w:sectPr w:rsidR="00FE6AB8" w:rsidSect="00434B13">
      <w:pgSz w:w="11907" w:h="16840" w:code="9"/>
      <w:pgMar w:top="709" w:right="425" w:bottom="1560" w:left="567" w:header="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4F" w:rsidRDefault="003C224F">
      <w:r>
        <w:separator/>
      </w:r>
    </w:p>
  </w:endnote>
  <w:endnote w:type="continuationSeparator" w:id="0">
    <w:p w:rsidR="003C224F" w:rsidRDefault="003C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4F" w:rsidRDefault="003C224F">
      <w:r>
        <w:separator/>
      </w:r>
    </w:p>
  </w:footnote>
  <w:footnote w:type="continuationSeparator" w:id="0">
    <w:p w:rsidR="003C224F" w:rsidRDefault="003C224F">
      <w:r>
        <w:continuationSeparator/>
      </w:r>
    </w:p>
  </w:footnote>
  <w:footnote w:type="continuationNotice" w:id="1">
    <w:p w:rsidR="003C224F" w:rsidRDefault="003C224F"/>
  </w:footnote>
  <w:footnote w:id="2">
    <w:p w:rsidR="002212DC" w:rsidRDefault="003C224F" w:rsidP="00537B9D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0A6632">
        <w:rPr>
          <w:rFonts w:ascii="Times New Roman" w:hAnsi="Times New Roman"/>
        </w:rPr>
        <w:t xml:space="preserve">Основным признается страховой риск, который влияет на условия потребительского кредита (займа) </w:t>
      </w:r>
      <w:r>
        <w:rPr>
          <w:rFonts w:ascii="Times New Roman" w:hAnsi="Times New Roman"/>
        </w:rPr>
        <w:t>и (или) по которому</w:t>
      </w:r>
      <w:r w:rsidRPr="000A6632">
        <w:rPr>
          <w:rFonts w:ascii="Times New Roman" w:hAnsi="Times New Roman"/>
        </w:rPr>
        <w:t xml:space="preserve"> кредитор является выгодоприобретателем.</w:t>
      </w:r>
    </w:p>
  </w:footnote>
  <w:footnote w:id="3">
    <w:p w:rsidR="002212DC" w:rsidRPr="00443D7C" w:rsidRDefault="003C224F" w:rsidP="00537B9D">
      <w:pPr>
        <w:pStyle w:val="afc"/>
        <w:jc w:val="both"/>
        <w:rPr>
          <w:rFonts w:ascii="Times New Roman" w:hAnsi="Times New Roman"/>
        </w:rPr>
      </w:pPr>
      <w:r w:rsidRPr="00443D7C">
        <w:rPr>
          <w:rStyle w:val="afe"/>
          <w:rFonts w:ascii="Times New Roman" w:hAnsi="Times New Roman"/>
        </w:rPr>
        <w:footnoteRef/>
      </w:r>
      <w:r w:rsidRPr="00443D7C">
        <w:rPr>
          <w:rFonts w:ascii="Times New Roman" w:hAnsi="Times New Roman"/>
        </w:rPr>
        <w:t xml:space="preserve"> </w:t>
      </w:r>
      <w:r w:rsidRPr="003624B1">
        <w:rPr>
          <w:rFonts w:ascii="Times New Roman" w:hAnsi="Times New Roman"/>
        </w:rPr>
        <w:t>Перечень социально значимых заболеваний: туберкулез, инфекции, передающиеся преимущественно половым путем, гепатит В, гепатит С, болезнь, вызванная вирусом иммунодефицита человека (ВИЧ), злокачественные новообразования, сахарный диабет, психические расстройства и расстройства поведения, болезни, характеризующиеся повышенным кровяным давлением, а также сердечно-сосудистые заболевания, цирроз печени.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797"/>
    <w:multiLevelType w:val="hybridMultilevel"/>
    <w:tmpl w:val="5734F102"/>
    <w:lvl w:ilvl="0" w:tplc="E9AC2B0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EDB0FDEE" w:tentative="1">
      <w:start w:val="1"/>
      <w:numFmt w:val="lowerLetter"/>
      <w:lvlText w:val="%2."/>
      <w:lvlJc w:val="left"/>
      <w:pPr>
        <w:ind w:left="1440" w:hanging="360"/>
      </w:pPr>
    </w:lvl>
    <w:lvl w:ilvl="2" w:tplc="20522E2A" w:tentative="1">
      <w:start w:val="1"/>
      <w:numFmt w:val="lowerRoman"/>
      <w:lvlText w:val="%3."/>
      <w:lvlJc w:val="right"/>
      <w:pPr>
        <w:ind w:left="2160" w:hanging="180"/>
      </w:pPr>
    </w:lvl>
    <w:lvl w:ilvl="3" w:tplc="66764BF0" w:tentative="1">
      <w:start w:val="1"/>
      <w:numFmt w:val="decimal"/>
      <w:lvlText w:val="%4."/>
      <w:lvlJc w:val="left"/>
      <w:pPr>
        <w:ind w:left="2880" w:hanging="360"/>
      </w:pPr>
    </w:lvl>
    <w:lvl w:ilvl="4" w:tplc="C928B75E" w:tentative="1">
      <w:start w:val="1"/>
      <w:numFmt w:val="lowerLetter"/>
      <w:lvlText w:val="%5."/>
      <w:lvlJc w:val="left"/>
      <w:pPr>
        <w:ind w:left="3600" w:hanging="360"/>
      </w:pPr>
    </w:lvl>
    <w:lvl w:ilvl="5" w:tplc="2760FFF2" w:tentative="1">
      <w:start w:val="1"/>
      <w:numFmt w:val="lowerRoman"/>
      <w:lvlText w:val="%6."/>
      <w:lvlJc w:val="right"/>
      <w:pPr>
        <w:ind w:left="4320" w:hanging="180"/>
      </w:pPr>
    </w:lvl>
    <w:lvl w:ilvl="6" w:tplc="A2AE78EC" w:tentative="1">
      <w:start w:val="1"/>
      <w:numFmt w:val="decimal"/>
      <w:lvlText w:val="%7."/>
      <w:lvlJc w:val="left"/>
      <w:pPr>
        <w:ind w:left="5040" w:hanging="360"/>
      </w:pPr>
    </w:lvl>
    <w:lvl w:ilvl="7" w:tplc="52D08DCE" w:tentative="1">
      <w:start w:val="1"/>
      <w:numFmt w:val="lowerLetter"/>
      <w:lvlText w:val="%8."/>
      <w:lvlJc w:val="left"/>
      <w:pPr>
        <w:ind w:left="5760" w:hanging="360"/>
      </w:pPr>
    </w:lvl>
    <w:lvl w:ilvl="8" w:tplc="9DAC8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7E"/>
    <w:multiLevelType w:val="hybridMultilevel"/>
    <w:tmpl w:val="E43C6A00"/>
    <w:lvl w:ilvl="0" w:tplc="329601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2090B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4A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A0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E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8E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26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0B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1B16"/>
    <w:multiLevelType w:val="hybridMultilevel"/>
    <w:tmpl w:val="C4E4D43C"/>
    <w:lvl w:ilvl="0" w:tplc="F4840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68A4C" w:tentative="1">
      <w:start w:val="1"/>
      <w:numFmt w:val="lowerLetter"/>
      <w:lvlText w:val="%2."/>
      <w:lvlJc w:val="left"/>
      <w:pPr>
        <w:ind w:left="1440" w:hanging="360"/>
      </w:pPr>
    </w:lvl>
    <w:lvl w:ilvl="2" w:tplc="11D0DDFA" w:tentative="1">
      <w:start w:val="1"/>
      <w:numFmt w:val="lowerRoman"/>
      <w:lvlText w:val="%3."/>
      <w:lvlJc w:val="right"/>
      <w:pPr>
        <w:ind w:left="2160" w:hanging="180"/>
      </w:pPr>
    </w:lvl>
    <w:lvl w:ilvl="3" w:tplc="601CAB96" w:tentative="1">
      <w:start w:val="1"/>
      <w:numFmt w:val="decimal"/>
      <w:lvlText w:val="%4."/>
      <w:lvlJc w:val="left"/>
      <w:pPr>
        <w:ind w:left="2880" w:hanging="360"/>
      </w:pPr>
    </w:lvl>
    <w:lvl w:ilvl="4" w:tplc="27DEE12C" w:tentative="1">
      <w:start w:val="1"/>
      <w:numFmt w:val="lowerLetter"/>
      <w:lvlText w:val="%5."/>
      <w:lvlJc w:val="left"/>
      <w:pPr>
        <w:ind w:left="3600" w:hanging="360"/>
      </w:pPr>
    </w:lvl>
    <w:lvl w:ilvl="5" w:tplc="CE981A30" w:tentative="1">
      <w:start w:val="1"/>
      <w:numFmt w:val="lowerRoman"/>
      <w:lvlText w:val="%6."/>
      <w:lvlJc w:val="right"/>
      <w:pPr>
        <w:ind w:left="4320" w:hanging="180"/>
      </w:pPr>
    </w:lvl>
    <w:lvl w:ilvl="6" w:tplc="2B7A5830" w:tentative="1">
      <w:start w:val="1"/>
      <w:numFmt w:val="decimal"/>
      <w:lvlText w:val="%7."/>
      <w:lvlJc w:val="left"/>
      <w:pPr>
        <w:ind w:left="5040" w:hanging="360"/>
      </w:pPr>
    </w:lvl>
    <w:lvl w:ilvl="7" w:tplc="B9D474C6" w:tentative="1">
      <w:start w:val="1"/>
      <w:numFmt w:val="lowerLetter"/>
      <w:lvlText w:val="%8."/>
      <w:lvlJc w:val="left"/>
      <w:pPr>
        <w:ind w:left="5760" w:hanging="360"/>
      </w:pPr>
    </w:lvl>
    <w:lvl w:ilvl="8" w:tplc="35403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B6"/>
    <w:multiLevelType w:val="hybridMultilevel"/>
    <w:tmpl w:val="E2DCC674"/>
    <w:lvl w:ilvl="0" w:tplc="E3E69680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Arial" w:hint="default"/>
        <w:sz w:val="22"/>
        <w:szCs w:val="22"/>
      </w:rPr>
    </w:lvl>
    <w:lvl w:ilvl="1" w:tplc="3A6A4BE6" w:tentative="1">
      <w:start w:val="1"/>
      <w:numFmt w:val="lowerLetter"/>
      <w:lvlText w:val="%2."/>
      <w:lvlJc w:val="left"/>
      <w:pPr>
        <w:ind w:left="1440" w:hanging="360"/>
      </w:pPr>
    </w:lvl>
    <w:lvl w:ilvl="2" w:tplc="46EA1458" w:tentative="1">
      <w:start w:val="1"/>
      <w:numFmt w:val="lowerRoman"/>
      <w:lvlText w:val="%3."/>
      <w:lvlJc w:val="right"/>
      <w:pPr>
        <w:ind w:left="2160" w:hanging="180"/>
      </w:pPr>
    </w:lvl>
    <w:lvl w:ilvl="3" w:tplc="C0D2C23E" w:tentative="1">
      <w:start w:val="1"/>
      <w:numFmt w:val="decimal"/>
      <w:lvlText w:val="%4."/>
      <w:lvlJc w:val="left"/>
      <w:pPr>
        <w:ind w:left="2880" w:hanging="360"/>
      </w:pPr>
    </w:lvl>
    <w:lvl w:ilvl="4" w:tplc="7786EB12" w:tentative="1">
      <w:start w:val="1"/>
      <w:numFmt w:val="lowerLetter"/>
      <w:lvlText w:val="%5."/>
      <w:lvlJc w:val="left"/>
      <w:pPr>
        <w:ind w:left="3600" w:hanging="360"/>
      </w:pPr>
    </w:lvl>
    <w:lvl w:ilvl="5" w:tplc="C228313C" w:tentative="1">
      <w:start w:val="1"/>
      <w:numFmt w:val="lowerRoman"/>
      <w:lvlText w:val="%6."/>
      <w:lvlJc w:val="right"/>
      <w:pPr>
        <w:ind w:left="4320" w:hanging="180"/>
      </w:pPr>
    </w:lvl>
    <w:lvl w:ilvl="6" w:tplc="568E1974" w:tentative="1">
      <w:start w:val="1"/>
      <w:numFmt w:val="decimal"/>
      <w:lvlText w:val="%7."/>
      <w:lvlJc w:val="left"/>
      <w:pPr>
        <w:ind w:left="5040" w:hanging="360"/>
      </w:pPr>
    </w:lvl>
    <w:lvl w:ilvl="7" w:tplc="C5782FCA" w:tentative="1">
      <w:start w:val="1"/>
      <w:numFmt w:val="lowerLetter"/>
      <w:lvlText w:val="%8."/>
      <w:lvlJc w:val="left"/>
      <w:pPr>
        <w:ind w:left="5760" w:hanging="360"/>
      </w:pPr>
    </w:lvl>
    <w:lvl w:ilvl="8" w:tplc="9F88A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7AF"/>
    <w:multiLevelType w:val="hybridMultilevel"/>
    <w:tmpl w:val="D910BCEA"/>
    <w:lvl w:ilvl="0" w:tplc="051EA32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2940D43A" w:tentative="1">
      <w:start w:val="1"/>
      <w:numFmt w:val="lowerLetter"/>
      <w:lvlText w:val="%2."/>
      <w:lvlJc w:val="left"/>
      <w:pPr>
        <w:ind w:left="1080" w:hanging="360"/>
      </w:pPr>
    </w:lvl>
    <w:lvl w:ilvl="2" w:tplc="3F645C96" w:tentative="1">
      <w:start w:val="1"/>
      <w:numFmt w:val="lowerRoman"/>
      <w:lvlText w:val="%3."/>
      <w:lvlJc w:val="right"/>
      <w:pPr>
        <w:ind w:left="1800" w:hanging="180"/>
      </w:pPr>
    </w:lvl>
    <w:lvl w:ilvl="3" w:tplc="6BCE5AC8" w:tentative="1">
      <w:start w:val="1"/>
      <w:numFmt w:val="decimal"/>
      <w:lvlText w:val="%4."/>
      <w:lvlJc w:val="left"/>
      <w:pPr>
        <w:ind w:left="2520" w:hanging="360"/>
      </w:pPr>
    </w:lvl>
    <w:lvl w:ilvl="4" w:tplc="01F695F2" w:tentative="1">
      <w:start w:val="1"/>
      <w:numFmt w:val="lowerLetter"/>
      <w:lvlText w:val="%5."/>
      <w:lvlJc w:val="left"/>
      <w:pPr>
        <w:ind w:left="3240" w:hanging="360"/>
      </w:pPr>
    </w:lvl>
    <w:lvl w:ilvl="5" w:tplc="EAC4119C" w:tentative="1">
      <w:start w:val="1"/>
      <w:numFmt w:val="lowerRoman"/>
      <w:lvlText w:val="%6."/>
      <w:lvlJc w:val="right"/>
      <w:pPr>
        <w:ind w:left="3960" w:hanging="180"/>
      </w:pPr>
    </w:lvl>
    <w:lvl w:ilvl="6" w:tplc="E5FEE1BE" w:tentative="1">
      <w:start w:val="1"/>
      <w:numFmt w:val="decimal"/>
      <w:lvlText w:val="%7."/>
      <w:lvlJc w:val="left"/>
      <w:pPr>
        <w:ind w:left="4680" w:hanging="360"/>
      </w:pPr>
    </w:lvl>
    <w:lvl w:ilvl="7" w:tplc="FADA07CC" w:tentative="1">
      <w:start w:val="1"/>
      <w:numFmt w:val="lowerLetter"/>
      <w:lvlText w:val="%8."/>
      <w:lvlJc w:val="left"/>
      <w:pPr>
        <w:ind w:left="5400" w:hanging="360"/>
      </w:pPr>
    </w:lvl>
    <w:lvl w:ilvl="8" w:tplc="79DC6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14CB6"/>
    <w:multiLevelType w:val="multilevel"/>
    <w:tmpl w:val="4C5A9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6A67619"/>
    <w:multiLevelType w:val="hybridMultilevel"/>
    <w:tmpl w:val="E68AFA8A"/>
    <w:lvl w:ilvl="0" w:tplc="2BFA8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E0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C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CA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CC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A2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0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41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2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4642"/>
    <w:multiLevelType w:val="hybridMultilevel"/>
    <w:tmpl w:val="4C48BD32"/>
    <w:lvl w:ilvl="0" w:tplc="051414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F5E01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83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6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8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E4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0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C5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48FE"/>
    <w:multiLevelType w:val="multilevel"/>
    <w:tmpl w:val="E51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368E240F"/>
    <w:multiLevelType w:val="multilevel"/>
    <w:tmpl w:val="ED14B3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ascii="Arial Narrow" w:hAnsi="Arial Narrow" w:hint="default"/>
        <w:b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BB12E6D"/>
    <w:multiLevelType w:val="hybridMultilevel"/>
    <w:tmpl w:val="E2DCC674"/>
    <w:lvl w:ilvl="0" w:tplc="C2ACBF10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Arial" w:hint="default"/>
        <w:sz w:val="22"/>
        <w:szCs w:val="22"/>
      </w:rPr>
    </w:lvl>
    <w:lvl w:ilvl="1" w:tplc="4420F8A4" w:tentative="1">
      <w:start w:val="1"/>
      <w:numFmt w:val="lowerLetter"/>
      <w:lvlText w:val="%2."/>
      <w:lvlJc w:val="left"/>
      <w:pPr>
        <w:ind w:left="1440" w:hanging="360"/>
      </w:pPr>
    </w:lvl>
    <w:lvl w:ilvl="2" w:tplc="55E8FFB0" w:tentative="1">
      <w:start w:val="1"/>
      <w:numFmt w:val="lowerRoman"/>
      <w:lvlText w:val="%3."/>
      <w:lvlJc w:val="right"/>
      <w:pPr>
        <w:ind w:left="2160" w:hanging="180"/>
      </w:pPr>
    </w:lvl>
    <w:lvl w:ilvl="3" w:tplc="CBE0C868" w:tentative="1">
      <w:start w:val="1"/>
      <w:numFmt w:val="decimal"/>
      <w:lvlText w:val="%4."/>
      <w:lvlJc w:val="left"/>
      <w:pPr>
        <w:ind w:left="2880" w:hanging="360"/>
      </w:pPr>
    </w:lvl>
    <w:lvl w:ilvl="4" w:tplc="BAAAA91E" w:tentative="1">
      <w:start w:val="1"/>
      <w:numFmt w:val="lowerLetter"/>
      <w:lvlText w:val="%5."/>
      <w:lvlJc w:val="left"/>
      <w:pPr>
        <w:ind w:left="3600" w:hanging="360"/>
      </w:pPr>
    </w:lvl>
    <w:lvl w:ilvl="5" w:tplc="85327622" w:tentative="1">
      <w:start w:val="1"/>
      <w:numFmt w:val="lowerRoman"/>
      <w:lvlText w:val="%6."/>
      <w:lvlJc w:val="right"/>
      <w:pPr>
        <w:ind w:left="4320" w:hanging="180"/>
      </w:pPr>
    </w:lvl>
    <w:lvl w:ilvl="6" w:tplc="7E5037D8" w:tentative="1">
      <w:start w:val="1"/>
      <w:numFmt w:val="decimal"/>
      <w:lvlText w:val="%7."/>
      <w:lvlJc w:val="left"/>
      <w:pPr>
        <w:ind w:left="5040" w:hanging="360"/>
      </w:pPr>
    </w:lvl>
    <w:lvl w:ilvl="7" w:tplc="AA540966" w:tentative="1">
      <w:start w:val="1"/>
      <w:numFmt w:val="lowerLetter"/>
      <w:lvlText w:val="%8."/>
      <w:lvlJc w:val="left"/>
      <w:pPr>
        <w:ind w:left="5760" w:hanging="360"/>
      </w:pPr>
    </w:lvl>
    <w:lvl w:ilvl="8" w:tplc="D2DE3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862B5"/>
    <w:multiLevelType w:val="hybridMultilevel"/>
    <w:tmpl w:val="BCB60D9C"/>
    <w:lvl w:ilvl="0" w:tplc="9AF05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4B48A" w:tentative="1">
      <w:start w:val="1"/>
      <w:numFmt w:val="lowerLetter"/>
      <w:lvlText w:val="%2."/>
      <w:lvlJc w:val="left"/>
      <w:pPr>
        <w:ind w:left="1440" w:hanging="360"/>
      </w:pPr>
    </w:lvl>
    <w:lvl w:ilvl="2" w:tplc="9A08A19A">
      <w:start w:val="1"/>
      <w:numFmt w:val="lowerRoman"/>
      <w:lvlText w:val="%3."/>
      <w:lvlJc w:val="right"/>
      <w:pPr>
        <w:ind w:left="2160" w:hanging="180"/>
      </w:pPr>
    </w:lvl>
    <w:lvl w:ilvl="3" w:tplc="387EA6E2" w:tentative="1">
      <w:start w:val="1"/>
      <w:numFmt w:val="decimal"/>
      <w:lvlText w:val="%4."/>
      <w:lvlJc w:val="left"/>
      <w:pPr>
        <w:ind w:left="2880" w:hanging="360"/>
      </w:pPr>
    </w:lvl>
    <w:lvl w:ilvl="4" w:tplc="DAD2603A" w:tentative="1">
      <w:start w:val="1"/>
      <w:numFmt w:val="lowerLetter"/>
      <w:lvlText w:val="%5."/>
      <w:lvlJc w:val="left"/>
      <w:pPr>
        <w:ind w:left="3600" w:hanging="360"/>
      </w:pPr>
    </w:lvl>
    <w:lvl w:ilvl="5" w:tplc="24CCF2E2" w:tentative="1">
      <w:start w:val="1"/>
      <w:numFmt w:val="lowerRoman"/>
      <w:lvlText w:val="%6."/>
      <w:lvlJc w:val="right"/>
      <w:pPr>
        <w:ind w:left="4320" w:hanging="180"/>
      </w:pPr>
    </w:lvl>
    <w:lvl w:ilvl="6" w:tplc="73305642" w:tentative="1">
      <w:start w:val="1"/>
      <w:numFmt w:val="decimal"/>
      <w:lvlText w:val="%7."/>
      <w:lvlJc w:val="left"/>
      <w:pPr>
        <w:ind w:left="5040" w:hanging="360"/>
      </w:pPr>
    </w:lvl>
    <w:lvl w:ilvl="7" w:tplc="B1802F7E" w:tentative="1">
      <w:start w:val="1"/>
      <w:numFmt w:val="lowerLetter"/>
      <w:lvlText w:val="%8."/>
      <w:lvlJc w:val="left"/>
      <w:pPr>
        <w:ind w:left="5760" w:hanging="360"/>
      </w:pPr>
    </w:lvl>
    <w:lvl w:ilvl="8" w:tplc="5DC6D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6983"/>
    <w:multiLevelType w:val="hybridMultilevel"/>
    <w:tmpl w:val="F98C2020"/>
    <w:lvl w:ilvl="0" w:tplc="59FA3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A2D7AA">
      <w:numFmt w:val="bullet"/>
      <w:lvlText w:val=""/>
      <w:lvlJc w:val="left"/>
      <w:pPr>
        <w:ind w:left="1080" w:hanging="360"/>
      </w:pPr>
      <w:rPr>
        <w:rFonts w:ascii="Wingdings" w:eastAsia="MS Mincho" w:hAnsi="Wingdings" w:cs="Times New Roman" w:hint="default"/>
        <w:sz w:val="20"/>
      </w:rPr>
    </w:lvl>
    <w:lvl w:ilvl="2" w:tplc="0F9294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465B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ECAE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0612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8E7B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C00D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1ED3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17380C"/>
    <w:multiLevelType w:val="hybridMultilevel"/>
    <w:tmpl w:val="80E422E0"/>
    <w:lvl w:ilvl="0" w:tplc="87600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4FD70" w:tentative="1">
      <w:start w:val="1"/>
      <w:numFmt w:val="lowerLetter"/>
      <w:lvlText w:val="%2."/>
      <w:lvlJc w:val="left"/>
      <w:pPr>
        <w:ind w:left="1440" w:hanging="360"/>
      </w:pPr>
    </w:lvl>
    <w:lvl w:ilvl="2" w:tplc="80108446" w:tentative="1">
      <w:start w:val="1"/>
      <w:numFmt w:val="lowerRoman"/>
      <w:lvlText w:val="%3."/>
      <w:lvlJc w:val="right"/>
      <w:pPr>
        <w:ind w:left="2160" w:hanging="180"/>
      </w:pPr>
    </w:lvl>
    <w:lvl w:ilvl="3" w:tplc="D8B053F8" w:tentative="1">
      <w:start w:val="1"/>
      <w:numFmt w:val="decimal"/>
      <w:lvlText w:val="%4."/>
      <w:lvlJc w:val="left"/>
      <w:pPr>
        <w:ind w:left="2880" w:hanging="360"/>
      </w:pPr>
    </w:lvl>
    <w:lvl w:ilvl="4" w:tplc="D03C3D90" w:tentative="1">
      <w:start w:val="1"/>
      <w:numFmt w:val="lowerLetter"/>
      <w:lvlText w:val="%5."/>
      <w:lvlJc w:val="left"/>
      <w:pPr>
        <w:ind w:left="3600" w:hanging="360"/>
      </w:pPr>
    </w:lvl>
    <w:lvl w:ilvl="5" w:tplc="43A2214C" w:tentative="1">
      <w:start w:val="1"/>
      <w:numFmt w:val="lowerRoman"/>
      <w:lvlText w:val="%6."/>
      <w:lvlJc w:val="right"/>
      <w:pPr>
        <w:ind w:left="4320" w:hanging="180"/>
      </w:pPr>
    </w:lvl>
    <w:lvl w:ilvl="6" w:tplc="C4F8E816" w:tentative="1">
      <w:start w:val="1"/>
      <w:numFmt w:val="decimal"/>
      <w:lvlText w:val="%7."/>
      <w:lvlJc w:val="left"/>
      <w:pPr>
        <w:ind w:left="5040" w:hanging="360"/>
      </w:pPr>
    </w:lvl>
    <w:lvl w:ilvl="7" w:tplc="1F0C72A6" w:tentative="1">
      <w:start w:val="1"/>
      <w:numFmt w:val="lowerLetter"/>
      <w:lvlText w:val="%8."/>
      <w:lvlJc w:val="left"/>
      <w:pPr>
        <w:ind w:left="5760" w:hanging="360"/>
      </w:pPr>
    </w:lvl>
    <w:lvl w:ilvl="8" w:tplc="C36A4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187F"/>
    <w:multiLevelType w:val="hybridMultilevel"/>
    <w:tmpl w:val="E2DCC674"/>
    <w:lvl w:ilvl="0" w:tplc="7DC69258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Arial" w:hint="default"/>
        <w:sz w:val="22"/>
        <w:szCs w:val="22"/>
      </w:rPr>
    </w:lvl>
    <w:lvl w:ilvl="1" w:tplc="9EACD9D0" w:tentative="1">
      <w:start w:val="1"/>
      <w:numFmt w:val="lowerLetter"/>
      <w:lvlText w:val="%2."/>
      <w:lvlJc w:val="left"/>
      <w:pPr>
        <w:ind w:left="1440" w:hanging="360"/>
      </w:pPr>
    </w:lvl>
    <w:lvl w:ilvl="2" w:tplc="9FA8963E" w:tentative="1">
      <w:start w:val="1"/>
      <w:numFmt w:val="lowerRoman"/>
      <w:lvlText w:val="%3."/>
      <w:lvlJc w:val="right"/>
      <w:pPr>
        <w:ind w:left="2160" w:hanging="180"/>
      </w:pPr>
    </w:lvl>
    <w:lvl w:ilvl="3" w:tplc="59EC2464" w:tentative="1">
      <w:start w:val="1"/>
      <w:numFmt w:val="decimal"/>
      <w:lvlText w:val="%4."/>
      <w:lvlJc w:val="left"/>
      <w:pPr>
        <w:ind w:left="2880" w:hanging="360"/>
      </w:pPr>
    </w:lvl>
    <w:lvl w:ilvl="4" w:tplc="533A5FB0" w:tentative="1">
      <w:start w:val="1"/>
      <w:numFmt w:val="lowerLetter"/>
      <w:lvlText w:val="%5."/>
      <w:lvlJc w:val="left"/>
      <w:pPr>
        <w:ind w:left="3600" w:hanging="360"/>
      </w:pPr>
    </w:lvl>
    <w:lvl w:ilvl="5" w:tplc="76EA8262" w:tentative="1">
      <w:start w:val="1"/>
      <w:numFmt w:val="lowerRoman"/>
      <w:lvlText w:val="%6."/>
      <w:lvlJc w:val="right"/>
      <w:pPr>
        <w:ind w:left="4320" w:hanging="180"/>
      </w:pPr>
    </w:lvl>
    <w:lvl w:ilvl="6" w:tplc="85B872EC" w:tentative="1">
      <w:start w:val="1"/>
      <w:numFmt w:val="decimal"/>
      <w:lvlText w:val="%7."/>
      <w:lvlJc w:val="left"/>
      <w:pPr>
        <w:ind w:left="5040" w:hanging="360"/>
      </w:pPr>
    </w:lvl>
    <w:lvl w:ilvl="7" w:tplc="32BA57A2" w:tentative="1">
      <w:start w:val="1"/>
      <w:numFmt w:val="lowerLetter"/>
      <w:lvlText w:val="%8."/>
      <w:lvlJc w:val="left"/>
      <w:pPr>
        <w:ind w:left="5760" w:hanging="360"/>
      </w:pPr>
    </w:lvl>
    <w:lvl w:ilvl="8" w:tplc="61A21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C0CD4"/>
    <w:multiLevelType w:val="hybridMultilevel"/>
    <w:tmpl w:val="4B4C0BEE"/>
    <w:lvl w:ilvl="0" w:tplc="0BAE6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CD460" w:tentative="1">
      <w:start w:val="1"/>
      <w:numFmt w:val="lowerLetter"/>
      <w:lvlText w:val="%2."/>
      <w:lvlJc w:val="left"/>
      <w:pPr>
        <w:ind w:left="1440" w:hanging="360"/>
      </w:pPr>
    </w:lvl>
    <w:lvl w:ilvl="2" w:tplc="0FBCFB5E" w:tentative="1">
      <w:start w:val="1"/>
      <w:numFmt w:val="lowerRoman"/>
      <w:lvlText w:val="%3."/>
      <w:lvlJc w:val="right"/>
      <w:pPr>
        <w:ind w:left="2160" w:hanging="180"/>
      </w:pPr>
    </w:lvl>
    <w:lvl w:ilvl="3" w:tplc="DA42903A" w:tentative="1">
      <w:start w:val="1"/>
      <w:numFmt w:val="decimal"/>
      <w:lvlText w:val="%4."/>
      <w:lvlJc w:val="left"/>
      <w:pPr>
        <w:ind w:left="2880" w:hanging="360"/>
      </w:pPr>
    </w:lvl>
    <w:lvl w:ilvl="4" w:tplc="672C9350" w:tentative="1">
      <w:start w:val="1"/>
      <w:numFmt w:val="lowerLetter"/>
      <w:lvlText w:val="%5."/>
      <w:lvlJc w:val="left"/>
      <w:pPr>
        <w:ind w:left="3600" w:hanging="360"/>
      </w:pPr>
    </w:lvl>
    <w:lvl w:ilvl="5" w:tplc="EC148138" w:tentative="1">
      <w:start w:val="1"/>
      <w:numFmt w:val="lowerRoman"/>
      <w:lvlText w:val="%6."/>
      <w:lvlJc w:val="right"/>
      <w:pPr>
        <w:ind w:left="4320" w:hanging="180"/>
      </w:pPr>
    </w:lvl>
    <w:lvl w:ilvl="6" w:tplc="C936BDDC" w:tentative="1">
      <w:start w:val="1"/>
      <w:numFmt w:val="decimal"/>
      <w:lvlText w:val="%7."/>
      <w:lvlJc w:val="left"/>
      <w:pPr>
        <w:ind w:left="5040" w:hanging="360"/>
      </w:pPr>
    </w:lvl>
    <w:lvl w:ilvl="7" w:tplc="45288F52" w:tentative="1">
      <w:start w:val="1"/>
      <w:numFmt w:val="lowerLetter"/>
      <w:lvlText w:val="%8."/>
      <w:lvlJc w:val="left"/>
      <w:pPr>
        <w:ind w:left="5760" w:hanging="360"/>
      </w:pPr>
    </w:lvl>
    <w:lvl w:ilvl="8" w:tplc="B4083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68FB"/>
    <w:multiLevelType w:val="hybridMultilevel"/>
    <w:tmpl w:val="E2DCC674"/>
    <w:lvl w:ilvl="0" w:tplc="6622C1EE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Arial" w:hint="default"/>
        <w:sz w:val="22"/>
        <w:szCs w:val="22"/>
      </w:rPr>
    </w:lvl>
    <w:lvl w:ilvl="1" w:tplc="43E2C778" w:tentative="1">
      <w:start w:val="1"/>
      <w:numFmt w:val="lowerLetter"/>
      <w:lvlText w:val="%2."/>
      <w:lvlJc w:val="left"/>
      <w:pPr>
        <w:ind w:left="1440" w:hanging="360"/>
      </w:pPr>
    </w:lvl>
    <w:lvl w:ilvl="2" w:tplc="D1567F7A" w:tentative="1">
      <w:start w:val="1"/>
      <w:numFmt w:val="lowerRoman"/>
      <w:lvlText w:val="%3."/>
      <w:lvlJc w:val="right"/>
      <w:pPr>
        <w:ind w:left="2160" w:hanging="180"/>
      </w:pPr>
    </w:lvl>
    <w:lvl w:ilvl="3" w:tplc="1104099A" w:tentative="1">
      <w:start w:val="1"/>
      <w:numFmt w:val="decimal"/>
      <w:lvlText w:val="%4."/>
      <w:lvlJc w:val="left"/>
      <w:pPr>
        <w:ind w:left="2880" w:hanging="360"/>
      </w:pPr>
    </w:lvl>
    <w:lvl w:ilvl="4" w:tplc="D8188E58" w:tentative="1">
      <w:start w:val="1"/>
      <w:numFmt w:val="lowerLetter"/>
      <w:lvlText w:val="%5."/>
      <w:lvlJc w:val="left"/>
      <w:pPr>
        <w:ind w:left="3600" w:hanging="360"/>
      </w:pPr>
    </w:lvl>
    <w:lvl w:ilvl="5" w:tplc="6B201A80" w:tentative="1">
      <w:start w:val="1"/>
      <w:numFmt w:val="lowerRoman"/>
      <w:lvlText w:val="%6."/>
      <w:lvlJc w:val="right"/>
      <w:pPr>
        <w:ind w:left="4320" w:hanging="180"/>
      </w:pPr>
    </w:lvl>
    <w:lvl w:ilvl="6" w:tplc="ECD40406" w:tentative="1">
      <w:start w:val="1"/>
      <w:numFmt w:val="decimal"/>
      <w:lvlText w:val="%7."/>
      <w:lvlJc w:val="left"/>
      <w:pPr>
        <w:ind w:left="5040" w:hanging="360"/>
      </w:pPr>
    </w:lvl>
    <w:lvl w:ilvl="7" w:tplc="9DCAD020" w:tentative="1">
      <w:start w:val="1"/>
      <w:numFmt w:val="lowerLetter"/>
      <w:lvlText w:val="%8."/>
      <w:lvlJc w:val="left"/>
      <w:pPr>
        <w:ind w:left="5760" w:hanging="360"/>
      </w:pPr>
    </w:lvl>
    <w:lvl w:ilvl="8" w:tplc="EB1E9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03E3A"/>
    <w:multiLevelType w:val="hybridMultilevel"/>
    <w:tmpl w:val="C4E4D43C"/>
    <w:lvl w:ilvl="0" w:tplc="49E8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460D26" w:tentative="1">
      <w:start w:val="1"/>
      <w:numFmt w:val="lowerLetter"/>
      <w:lvlText w:val="%2."/>
      <w:lvlJc w:val="left"/>
      <w:pPr>
        <w:ind w:left="1440" w:hanging="360"/>
      </w:pPr>
    </w:lvl>
    <w:lvl w:ilvl="2" w:tplc="F092B376" w:tentative="1">
      <w:start w:val="1"/>
      <w:numFmt w:val="lowerRoman"/>
      <w:lvlText w:val="%3."/>
      <w:lvlJc w:val="right"/>
      <w:pPr>
        <w:ind w:left="2160" w:hanging="180"/>
      </w:pPr>
    </w:lvl>
    <w:lvl w:ilvl="3" w:tplc="51C2E74E" w:tentative="1">
      <w:start w:val="1"/>
      <w:numFmt w:val="decimal"/>
      <w:lvlText w:val="%4."/>
      <w:lvlJc w:val="left"/>
      <w:pPr>
        <w:ind w:left="2880" w:hanging="360"/>
      </w:pPr>
    </w:lvl>
    <w:lvl w:ilvl="4" w:tplc="316C74F4" w:tentative="1">
      <w:start w:val="1"/>
      <w:numFmt w:val="lowerLetter"/>
      <w:lvlText w:val="%5."/>
      <w:lvlJc w:val="left"/>
      <w:pPr>
        <w:ind w:left="3600" w:hanging="360"/>
      </w:pPr>
    </w:lvl>
    <w:lvl w:ilvl="5" w:tplc="3A3A0D54" w:tentative="1">
      <w:start w:val="1"/>
      <w:numFmt w:val="lowerRoman"/>
      <w:lvlText w:val="%6."/>
      <w:lvlJc w:val="right"/>
      <w:pPr>
        <w:ind w:left="4320" w:hanging="180"/>
      </w:pPr>
    </w:lvl>
    <w:lvl w:ilvl="6" w:tplc="AC969964" w:tentative="1">
      <w:start w:val="1"/>
      <w:numFmt w:val="decimal"/>
      <w:lvlText w:val="%7."/>
      <w:lvlJc w:val="left"/>
      <w:pPr>
        <w:ind w:left="5040" w:hanging="360"/>
      </w:pPr>
    </w:lvl>
    <w:lvl w:ilvl="7" w:tplc="294CB472" w:tentative="1">
      <w:start w:val="1"/>
      <w:numFmt w:val="lowerLetter"/>
      <w:lvlText w:val="%8."/>
      <w:lvlJc w:val="left"/>
      <w:pPr>
        <w:ind w:left="5760" w:hanging="360"/>
      </w:pPr>
    </w:lvl>
    <w:lvl w:ilvl="8" w:tplc="FB20B8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5"/>
  </w:num>
  <w:num w:numId="15">
    <w:abstractNumId w:val="17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51"/>
    <w:rsid w:val="00166D51"/>
    <w:rsid w:val="00390787"/>
    <w:rsid w:val="003A7F30"/>
    <w:rsid w:val="003C224F"/>
    <w:rsid w:val="004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241F72"/>
  <w15:docId w15:val="{B7BD98A1-5B61-493D-BDFC-52607D92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равил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4">
    <w:name w:val="Утверждено"/>
    <w:basedOn w:val="a5"/>
    <w:pPr>
      <w:ind w:left="6237"/>
    </w:p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paragraph" w:customStyle="1" w:styleId="a7">
    <w:name w:val="Правила"/>
    <w:basedOn w:val="1"/>
    <w:pPr>
      <w:keepNext w:val="0"/>
      <w:spacing w:after="120"/>
      <w:jc w:val="center"/>
      <w:outlineLvl w:val="9"/>
    </w:pPr>
    <w:rPr>
      <w:caps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ind w:firstLine="709"/>
      <w:jc w:val="both"/>
    </w:pPr>
    <w:rPr>
      <w:sz w:val="18"/>
    </w:rPr>
  </w:style>
  <w:style w:type="paragraph" w:styleId="ad">
    <w:name w:val="Body Text"/>
    <w:basedOn w:val="a"/>
    <w:link w:val="ae"/>
    <w:pPr>
      <w:jc w:val="both"/>
    </w:pPr>
    <w:rPr>
      <w:sz w:val="18"/>
    </w:rPr>
  </w:style>
  <w:style w:type="paragraph" w:customStyle="1" w:styleId="Aacaoiaaee">
    <w:name w:val="Aacao i?aaee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f">
    <w:name w:val="Àáçàö ïðàâèë"/>
    <w:pPr>
      <w:spacing w:before="40" w:after="40"/>
      <w:ind w:firstLine="567"/>
      <w:jc w:val="both"/>
    </w:pPr>
    <w:rPr>
      <w:rFonts w:ascii="Arial" w:hAnsi="Arial"/>
    </w:rPr>
  </w:style>
  <w:style w:type="paragraph" w:styleId="21">
    <w:name w:val="Body Text 2"/>
    <w:basedOn w:val="a"/>
    <w:link w:val="22"/>
    <w:pPr>
      <w:jc w:val="both"/>
    </w:pPr>
    <w:rPr>
      <w:rFonts w:ascii="Times New Roman" w:hAnsi="Times New Roman"/>
    </w:rPr>
  </w:style>
  <w:style w:type="paragraph" w:styleId="af0">
    <w:name w:val="caption"/>
    <w:basedOn w:val="a"/>
    <w:next w:val="a"/>
    <w:qFormat/>
    <w:pPr>
      <w:ind w:hanging="142"/>
      <w:jc w:val="both"/>
    </w:pPr>
    <w:rPr>
      <w:rFonts w:ascii="Times New Roman" w:hAnsi="Times New Roman"/>
      <w:b/>
      <w:bCs/>
      <w:lang w:val="en-US"/>
    </w:rPr>
  </w:style>
  <w:style w:type="paragraph" w:styleId="23">
    <w:name w:val="Body Text Indent 2"/>
    <w:basedOn w:val="a"/>
    <w:link w:val="24"/>
    <w:pPr>
      <w:ind w:firstLine="284"/>
      <w:jc w:val="both"/>
    </w:pPr>
    <w:rPr>
      <w:rFonts w:ascii="Times New Roman" w:hAnsi="Times New Roman"/>
      <w:bCs/>
      <w:szCs w:val="18"/>
    </w:rPr>
  </w:style>
  <w:style w:type="paragraph" w:styleId="31">
    <w:name w:val="Body Text 3"/>
    <w:basedOn w:val="a"/>
    <w:link w:val="32"/>
    <w:pPr>
      <w:widowControl w:val="0"/>
      <w:suppressAutoHyphens/>
      <w:jc w:val="both"/>
    </w:pPr>
    <w:rPr>
      <w:rFonts w:ascii="Times New Roman" w:hAnsi="Times New Roman"/>
      <w:color w:val="FF0000"/>
    </w:rPr>
  </w:style>
  <w:style w:type="paragraph" w:customStyle="1" w:styleId="xl35">
    <w:name w:val="xl35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f1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Indent 3"/>
    <w:basedOn w:val="a"/>
    <w:link w:val="34"/>
    <w:pPr>
      <w:widowControl w:val="0"/>
      <w:suppressAutoHyphens/>
      <w:ind w:left="50" w:firstLine="659"/>
      <w:jc w:val="both"/>
    </w:pPr>
    <w:rPr>
      <w:rFonts w:cs="Arial"/>
      <w:bCs/>
      <w:sz w:val="16"/>
    </w:rPr>
  </w:style>
  <w:style w:type="paragraph" w:styleId="af2">
    <w:name w:val="Balloon Text"/>
    <w:basedOn w:val="a"/>
    <w:link w:val="af3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</w:style>
  <w:style w:type="paragraph" w:customStyle="1" w:styleId="af4">
    <w:name w:val="!Íàçâ.âèäà äîêóìåíòà"/>
    <w:basedOn w:val="a"/>
    <w:rsid w:val="00282B68"/>
    <w:pPr>
      <w:spacing w:after="240"/>
      <w:jc w:val="center"/>
    </w:pPr>
    <w:rPr>
      <w:rFonts w:ascii="Times New Roman" w:hAnsi="Times New Roman"/>
      <w:b/>
      <w:caps/>
      <w:sz w:val="24"/>
    </w:rPr>
  </w:style>
  <w:style w:type="table" w:styleId="af5">
    <w:name w:val="Table Grid"/>
    <w:basedOn w:val="a1"/>
    <w:uiPriority w:val="39"/>
    <w:rsid w:val="0028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rsid w:val="009E5FFD"/>
    <w:rPr>
      <w:sz w:val="16"/>
      <w:szCs w:val="16"/>
    </w:rPr>
  </w:style>
  <w:style w:type="paragraph" w:styleId="af7">
    <w:name w:val="annotation text"/>
    <w:basedOn w:val="a"/>
    <w:link w:val="af8"/>
    <w:rsid w:val="009E5FFD"/>
  </w:style>
  <w:style w:type="character" w:customStyle="1" w:styleId="af8">
    <w:name w:val="Текст примечания Знак"/>
    <w:link w:val="af7"/>
    <w:rsid w:val="009E5FFD"/>
    <w:rPr>
      <w:rFonts w:ascii="Arial" w:hAnsi="Arial"/>
    </w:rPr>
  </w:style>
  <w:style w:type="paragraph" w:styleId="af9">
    <w:name w:val="annotation subject"/>
    <w:basedOn w:val="af7"/>
    <w:next w:val="af7"/>
    <w:link w:val="afa"/>
    <w:rsid w:val="009E5FFD"/>
    <w:rPr>
      <w:b/>
      <w:bCs/>
    </w:rPr>
  </w:style>
  <w:style w:type="character" w:customStyle="1" w:styleId="afa">
    <w:name w:val="Тема примечания Знак"/>
    <w:link w:val="af9"/>
    <w:rsid w:val="009E5FFD"/>
    <w:rPr>
      <w:rFonts w:ascii="Arial" w:hAnsi="Arial"/>
      <w:b/>
      <w:bCs/>
    </w:rPr>
  </w:style>
  <w:style w:type="paragraph" w:styleId="afb">
    <w:name w:val="Revision"/>
    <w:hidden/>
    <w:uiPriority w:val="99"/>
    <w:semiHidden/>
    <w:rsid w:val="00B85CF4"/>
    <w:rPr>
      <w:rFonts w:ascii="Arial" w:hAnsi="Arial"/>
    </w:rPr>
  </w:style>
  <w:style w:type="character" w:customStyle="1" w:styleId="apple-converted-space">
    <w:name w:val="apple-converted-space"/>
    <w:rsid w:val="00FC5627"/>
  </w:style>
  <w:style w:type="paragraph" w:styleId="afc">
    <w:name w:val="footnote text"/>
    <w:basedOn w:val="a"/>
    <w:link w:val="afd"/>
    <w:uiPriority w:val="99"/>
    <w:rsid w:val="00DE3313"/>
  </w:style>
  <w:style w:type="character" w:customStyle="1" w:styleId="afd">
    <w:name w:val="Текст сноски Знак"/>
    <w:link w:val="afc"/>
    <w:uiPriority w:val="99"/>
    <w:rsid w:val="00DE3313"/>
    <w:rPr>
      <w:rFonts w:ascii="Arial" w:hAnsi="Arial"/>
    </w:rPr>
  </w:style>
  <w:style w:type="character" w:styleId="afe">
    <w:name w:val="footnote reference"/>
    <w:uiPriority w:val="99"/>
    <w:rsid w:val="00DE3313"/>
    <w:rPr>
      <w:vertAlign w:val="superscript"/>
    </w:rPr>
  </w:style>
  <w:style w:type="paragraph" w:customStyle="1" w:styleId="auiue">
    <w:name w:val="au?iue"/>
    <w:basedOn w:val="a"/>
    <w:rsid w:val="00C832BB"/>
    <w:pPr>
      <w:ind w:firstLine="709"/>
      <w:jc w:val="both"/>
    </w:pPr>
    <w:rPr>
      <w:rFonts w:ascii="Journal" w:eastAsia="Calibri" w:hAnsi="Journal"/>
      <w:sz w:val="24"/>
      <w:szCs w:val="24"/>
    </w:rPr>
  </w:style>
  <w:style w:type="character" w:customStyle="1" w:styleId="ae">
    <w:name w:val="Основной текст Знак"/>
    <w:link w:val="ad"/>
    <w:rsid w:val="008424F1"/>
    <w:rPr>
      <w:rFonts w:ascii="Arial" w:hAnsi="Arial"/>
      <w:sz w:val="18"/>
    </w:rPr>
  </w:style>
  <w:style w:type="paragraph" w:styleId="aff">
    <w:name w:val="List Paragraph"/>
    <w:basedOn w:val="a"/>
    <w:link w:val="aff0"/>
    <w:uiPriority w:val="34"/>
    <w:qFormat/>
    <w:rsid w:val="00740BDC"/>
    <w:pPr>
      <w:ind w:left="720"/>
      <w:contextualSpacing/>
    </w:pPr>
  </w:style>
  <w:style w:type="paragraph" w:styleId="aff1">
    <w:name w:val="Title"/>
    <w:basedOn w:val="a"/>
    <w:link w:val="aff2"/>
    <w:qFormat/>
    <w:rsid w:val="003738B1"/>
    <w:pPr>
      <w:jc w:val="center"/>
    </w:pPr>
    <w:rPr>
      <w:rFonts w:ascii="Times New Roman" w:eastAsiaTheme="majorEastAsia" w:hAnsi="Times New Roman" w:cstheme="majorBidi"/>
      <w:b/>
      <w:sz w:val="24"/>
    </w:rPr>
  </w:style>
  <w:style w:type="character" w:customStyle="1" w:styleId="aff2">
    <w:name w:val="Заголовок Знак"/>
    <w:basedOn w:val="a0"/>
    <w:link w:val="aff1"/>
    <w:rsid w:val="003738B1"/>
    <w:rPr>
      <w:rFonts w:eastAsiaTheme="majorEastAsia" w:cstheme="majorBidi"/>
      <w:b/>
      <w:sz w:val="24"/>
    </w:rPr>
  </w:style>
  <w:style w:type="character" w:customStyle="1" w:styleId="10">
    <w:name w:val="Заголовок 1 Знак"/>
    <w:basedOn w:val="a0"/>
    <w:link w:val="1"/>
    <w:rsid w:val="005969E2"/>
    <w:rPr>
      <w:rFonts w:ascii="Arial" w:hAnsi="Arial"/>
      <w:b/>
      <w:kern w:val="28"/>
      <w:sz w:val="28"/>
    </w:rPr>
  </w:style>
  <w:style w:type="character" w:styleId="aff3">
    <w:name w:val="Hyperlink"/>
    <w:basedOn w:val="a0"/>
    <w:uiPriority w:val="99"/>
    <w:rsid w:val="008A2AE5"/>
    <w:rPr>
      <w:color w:val="0000FF" w:themeColor="hyperlink"/>
      <w:u w:val="single"/>
    </w:rPr>
  </w:style>
  <w:style w:type="character" w:styleId="aff4">
    <w:name w:val="Placeholder Text"/>
    <w:basedOn w:val="a0"/>
    <w:uiPriority w:val="99"/>
    <w:semiHidden/>
    <w:rsid w:val="0081546B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B05EB0"/>
    <w:rPr>
      <w:rFonts w:ascii="Arial" w:hAnsi="Arial"/>
    </w:rPr>
  </w:style>
  <w:style w:type="paragraph" w:customStyle="1" w:styleId="Normal1">
    <w:name w:val="Normal1"/>
    <w:rsid w:val="00D6295F"/>
    <w:pPr>
      <w:widowControl w:val="0"/>
      <w:spacing w:line="280" w:lineRule="auto"/>
      <w:ind w:firstLine="560"/>
      <w:jc w:val="both"/>
    </w:pPr>
    <w:rPr>
      <w:snapToGrid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A69D5"/>
    <w:rPr>
      <w:rFonts w:ascii="Arial" w:hAnsi="Arial"/>
    </w:rPr>
  </w:style>
  <w:style w:type="character" w:customStyle="1" w:styleId="20">
    <w:name w:val="Заголовок 2 Знак"/>
    <w:basedOn w:val="a0"/>
    <w:link w:val="2"/>
    <w:rsid w:val="00BA2406"/>
    <w:rPr>
      <w:rFonts w:ascii="Arial" w:hAnsi="Arial"/>
      <w:b/>
    </w:rPr>
  </w:style>
  <w:style w:type="character" w:customStyle="1" w:styleId="30">
    <w:name w:val="Заголовок 3 Знак"/>
    <w:basedOn w:val="a0"/>
    <w:link w:val="3"/>
    <w:rsid w:val="00BA2406"/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BA2406"/>
    <w:rPr>
      <w:rFonts w:ascii="Arial" w:hAnsi="Arial"/>
      <w:sz w:val="18"/>
    </w:rPr>
  </w:style>
  <w:style w:type="character" w:customStyle="1" w:styleId="22">
    <w:name w:val="Основной текст 2 Знак"/>
    <w:basedOn w:val="a0"/>
    <w:link w:val="21"/>
    <w:rsid w:val="00BA2406"/>
  </w:style>
  <w:style w:type="character" w:customStyle="1" w:styleId="24">
    <w:name w:val="Основной текст с отступом 2 Знак"/>
    <w:basedOn w:val="a0"/>
    <w:link w:val="23"/>
    <w:rsid w:val="00BA2406"/>
    <w:rPr>
      <w:bCs/>
      <w:szCs w:val="18"/>
    </w:rPr>
  </w:style>
  <w:style w:type="character" w:customStyle="1" w:styleId="32">
    <w:name w:val="Основной текст 3 Знак"/>
    <w:basedOn w:val="a0"/>
    <w:link w:val="31"/>
    <w:rsid w:val="00BA2406"/>
    <w:rPr>
      <w:color w:val="FF0000"/>
    </w:rPr>
  </w:style>
  <w:style w:type="character" w:customStyle="1" w:styleId="34">
    <w:name w:val="Основной текст с отступом 3 Знак"/>
    <w:basedOn w:val="a0"/>
    <w:link w:val="33"/>
    <w:rsid w:val="00BA2406"/>
    <w:rPr>
      <w:rFonts w:ascii="Arial" w:hAnsi="Arial" w:cs="Arial"/>
      <w:bCs/>
      <w:sz w:val="16"/>
    </w:rPr>
  </w:style>
  <w:style w:type="character" w:customStyle="1" w:styleId="af3">
    <w:name w:val="Текст выноски Знак"/>
    <w:basedOn w:val="a0"/>
    <w:link w:val="af2"/>
    <w:semiHidden/>
    <w:rsid w:val="00BA24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0">
    <w:name w:val="Абзац списка Знак"/>
    <w:link w:val="aff"/>
    <w:uiPriority w:val="34"/>
    <w:locked/>
    <w:rsid w:val="000E55BC"/>
    <w:rPr>
      <w:rFonts w:ascii="Arial" w:hAnsi="Arial"/>
    </w:rPr>
  </w:style>
  <w:style w:type="table" w:customStyle="1" w:styleId="12">
    <w:name w:val="Сетка таблицы1"/>
    <w:basedOn w:val="a1"/>
    <w:next w:val="af5"/>
    <w:uiPriority w:val="39"/>
    <w:rsid w:val="002336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6FFB-0EBF-4198-AEF4-44F6D9E2C3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99717C-32EA-42C8-9E7B-7B3A838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Sogaz Ins. Co.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Минович Виктор Вячеславович</dc:creator>
  <cp:lastModifiedBy>Измайлова Виктория Николаевна</cp:lastModifiedBy>
  <cp:revision>2</cp:revision>
  <cp:lastPrinted>2019-11-06T15:30:00Z</cp:lastPrinted>
  <dcterms:created xsi:type="dcterms:W3CDTF">2022-10-23T12:04:00Z</dcterms:created>
  <dcterms:modified xsi:type="dcterms:W3CDTF">2022-10-23T12:04:00Z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policy="bd5b5c17-ff0e-4a45-8ade-b1db9e1fb804" xmlns="http://www.boldonjames.com/2008/01/sie/i</vt:lpwstr>
  </property>
  <property fmtid="{D5CDD505-2E9C-101B-9397-08002B2CF9AE}" pid="3" name="bjDocumentLabelXML-0">
    <vt:lpwstr>nternal/label"&gt;&lt;element uid="id_classification_internalonly" value="" /&gt;&lt;/sisl&gt;</vt:lpwstr>
  </property>
  <property fmtid="{D5CDD505-2E9C-101B-9397-08002B2CF9AE}" pid="4" name="bjDocumentSecurityLabel">
    <vt:lpwstr>Для внутреннего пользования (C1 - Internal)</vt:lpwstr>
  </property>
  <property fmtid="{D5CDD505-2E9C-101B-9397-08002B2CF9AE}" pid="5" name="bjSaver">
    <vt:lpwstr>JZF9mcTRffYdZzMcUhCWFTLBXEumtBhu</vt:lpwstr>
  </property>
  <property fmtid="{D5CDD505-2E9C-101B-9397-08002B2CF9AE}" pid="6" name="docIndexRef">
    <vt:lpwstr>4d6798b8-b9ce-4e7f-9c70-8d56dbd4c465</vt:lpwstr>
  </property>
</Properties>
</file>